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Pr="00D22C82" w:rsidR="00B5475A" w:rsidP="00D97D31" w:rsidRDefault="00B5475A" w14:paraId="3FE0234F" w14:textId="263BBE3A">
      <w:pPr>
        <w:spacing w:after="0"/>
        <w:jc w:val="center"/>
        <w:rPr>
          <w:rFonts w:ascii="Calibri" w:hAnsi="Calibri" w:cs="Calibri"/>
          <w:b/>
          <w:bCs/>
        </w:rPr>
      </w:pPr>
      <w:r w:rsidRPr="00D22C82">
        <w:rPr>
          <w:rFonts w:ascii="Calibri" w:hAnsi="Calibri" w:cs="Calibri"/>
          <w:b/>
          <w:bCs/>
        </w:rPr>
        <w:t>SOLICITUD TRASLADO PRESUPUESTAL ORDINARIO</w:t>
      </w:r>
    </w:p>
    <w:p w:rsidRPr="00D22C82" w:rsidR="00B5475A" w:rsidP="00D97D31" w:rsidRDefault="00B5475A" w14:paraId="14B75A81" w14:textId="77777777">
      <w:pPr>
        <w:spacing w:after="0"/>
        <w:jc w:val="center"/>
        <w:rPr>
          <w:rFonts w:ascii="Calibri" w:hAnsi="Calibri" w:cs="Calibri"/>
          <w:b/>
          <w:bCs/>
        </w:rPr>
      </w:pPr>
    </w:p>
    <w:p w:rsidR="00B94457" w:rsidP="00D97D31" w:rsidRDefault="00B94457" w14:paraId="1A3E1301" w14:textId="77777777">
      <w:pPr>
        <w:spacing w:after="0"/>
        <w:jc w:val="center"/>
        <w:rPr>
          <w:rFonts w:ascii="Calibri" w:hAnsi="Calibri" w:cs="Calibri"/>
          <w:b/>
          <w:bCs/>
        </w:rPr>
      </w:pPr>
    </w:p>
    <w:p w:rsidRPr="00D22C82" w:rsidR="00CC295D" w:rsidP="00D97D31" w:rsidRDefault="00CC295D" w14:paraId="7A5B8912" w14:textId="77777777">
      <w:pPr>
        <w:spacing w:after="0"/>
        <w:jc w:val="center"/>
        <w:rPr>
          <w:rFonts w:ascii="Calibri" w:hAnsi="Calibri" w:cs="Calibri"/>
          <w:b/>
          <w:bCs/>
        </w:rPr>
      </w:pPr>
    </w:p>
    <w:p w:rsidRPr="00D22C82" w:rsidR="00B5475A" w:rsidP="00D97D31" w:rsidRDefault="00B5475A" w14:paraId="5917C14E" w14:textId="77777777">
      <w:pPr>
        <w:spacing w:after="0"/>
        <w:jc w:val="center"/>
        <w:rPr>
          <w:rFonts w:ascii="Calibri" w:hAnsi="Calibri" w:cs="Calibri"/>
          <w:b/>
          <w:bCs/>
        </w:rPr>
      </w:pPr>
      <w:r w:rsidRPr="00D22C82">
        <w:rPr>
          <w:rFonts w:ascii="Calibri" w:hAnsi="Calibri" w:cs="Calibri"/>
          <w:b/>
          <w:bCs/>
        </w:rPr>
        <w:t>Proceso PIIP</w:t>
      </w:r>
    </w:p>
    <w:p w:rsidRPr="00D22C82" w:rsidR="00B5475A" w:rsidP="00D97D31" w:rsidRDefault="00690462" w14:paraId="17858E04" w14:textId="6701B646">
      <w:pPr>
        <w:spacing w:after="0"/>
        <w:jc w:val="center"/>
        <w:rPr>
          <w:rFonts w:ascii="Calibri" w:hAnsi="Calibri" w:cs="Calibri"/>
          <w:b/>
          <w:bCs/>
        </w:rPr>
      </w:pPr>
      <w:r w:rsidRPr="2C06994A">
        <w:rPr>
          <w:rFonts w:ascii="Calibri" w:hAnsi="Calibri" w:cs="Calibri"/>
          <w:b/>
          <w:bCs/>
        </w:rPr>
        <w:t>Trámite</w:t>
      </w:r>
      <w:r w:rsidRPr="2C06994A" w:rsidR="00B5475A">
        <w:rPr>
          <w:rFonts w:ascii="Calibri" w:hAnsi="Calibri" w:cs="Calibri"/>
          <w:b/>
          <w:bCs/>
        </w:rPr>
        <w:t xml:space="preserve"> de traslado ordinario Fecha: </w:t>
      </w:r>
      <w:proofErr w:type="gramStart"/>
      <w:r w:rsidRPr="0CDE3A12" w:rsidR="25F9C394">
        <w:rPr>
          <w:rFonts w:ascii="Calibri" w:hAnsi="Calibri" w:cs="Calibri"/>
          <w:b/>
          <w:bCs/>
        </w:rPr>
        <w:t>Junio</w:t>
      </w:r>
      <w:proofErr w:type="gramEnd"/>
      <w:r w:rsidRPr="0CDE3A12" w:rsidR="25F9C394">
        <w:rPr>
          <w:rFonts w:ascii="Calibri" w:hAnsi="Calibri" w:cs="Calibri"/>
          <w:b/>
          <w:bCs/>
        </w:rPr>
        <w:t xml:space="preserve"> </w:t>
      </w:r>
      <w:r w:rsidRPr="0CDE3A12" w:rsidR="427B50CA">
        <w:rPr>
          <w:rFonts w:ascii="Calibri" w:hAnsi="Calibri" w:cs="Calibri"/>
          <w:b/>
          <w:bCs/>
        </w:rPr>
        <w:t>1</w:t>
      </w:r>
      <w:r w:rsidRPr="0CDE3A12" w:rsidR="5219941A">
        <w:rPr>
          <w:rFonts w:ascii="Calibri" w:hAnsi="Calibri" w:cs="Calibri"/>
          <w:b/>
          <w:bCs/>
        </w:rPr>
        <w:t>0</w:t>
      </w:r>
      <w:r w:rsidRPr="2C06994A" w:rsidR="00F83AB5">
        <w:rPr>
          <w:rFonts w:ascii="Calibri" w:hAnsi="Calibri" w:cs="Calibri"/>
          <w:b/>
          <w:bCs/>
        </w:rPr>
        <w:t xml:space="preserve"> de 202</w:t>
      </w:r>
      <w:r w:rsidRPr="2C06994A" w:rsidR="3DC02968">
        <w:rPr>
          <w:rFonts w:ascii="Calibri" w:hAnsi="Calibri" w:cs="Calibri"/>
          <w:b/>
          <w:bCs/>
        </w:rPr>
        <w:t>6</w:t>
      </w:r>
    </w:p>
    <w:p w:rsidRPr="00D22C82" w:rsidR="00B5475A" w:rsidP="00D97D31" w:rsidRDefault="00B5475A" w14:paraId="79A5FA4E" w14:textId="77777777">
      <w:pPr>
        <w:spacing w:after="0"/>
        <w:jc w:val="center"/>
        <w:rPr>
          <w:rFonts w:ascii="Calibri" w:hAnsi="Calibri" w:cs="Calibri"/>
          <w:b/>
          <w:bCs/>
        </w:rPr>
      </w:pPr>
    </w:p>
    <w:p w:rsidRPr="00D22C82" w:rsidR="00B94457" w:rsidP="00D97D31" w:rsidRDefault="00B94457" w14:paraId="75B4888A" w14:textId="77777777">
      <w:pPr>
        <w:spacing w:after="0"/>
        <w:jc w:val="center"/>
        <w:rPr>
          <w:rFonts w:ascii="Calibri" w:hAnsi="Calibri" w:cs="Calibri"/>
          <w:b/>
          <w:bCs/>
        </w:rPr>
      </w:pPr>
    </w:p>
    <w:p w:rsidRPr="00D22C82" w:rsidR="00B94457" w:rsidP="00D97D31" w:rsidRDefault="00B94457" w14:paraId="5475A9EB" w14:textId="77777777">
      <w:pPr>
        <w:spacing w:after="0"/>
        <w:jc w:val="center"/>
        <w:rPr>
          <w:rFonts w:ascii="Calibri" w:hAnsi="Calibri" w:cs="Calibri"/>
          <w:b/>
          <w:bCs/>
        </w:rPr>
      </w:pPr>
    </w:p>
    <w:p w:rsidR="00AC2C8A" w:rsidP="00D97D31" w:rsidRDefault="00B5475A" w14:paraId="404D3E3F" w14:textId="58C479F5">
      <w:pPr>
        <w:spacing w:after="0"/>
        <w:jc w:val="center"/>
        <w:rPr>
          <w:rFonts w:ascii="Calibri" w:hAnsi="Calibri" w:cs="Calibri"/>
          <w:b/>
          <w:bCs/>
        </w:rPr>
      </w:pPr>
      <w:r w:rsidRPr="00D22C82">
        <w:rPr>
          <w:rFonts w:ascii="Calibri" w:hAnsi="Calibri" w:cs="Calibri"/>
          <w:b/>
          <w:bCs/>
        </w:rPr>
        <w:t>PROYECTO</w:t>
      </w:r>
      <w:r w:rsidRPr="00D22C82" w:rsidR="0024171E">
        <w:rPr>
          <w:rFonts w:ascii="Calibri" w:hAnsi="Calibri" w:cs="Calibri"/>
          <w:b/>
          <w:bCs/>
        </w:rPr>
        <w:t xml:space="preserve"> </w:t>
      </w:r>
      <w:r w:rsidRPr="00D22C82">
        <w:rPr>
          <w:rFonts w:ascii="Calibri" w:hAnsi="Calibri" w:cs="Calibri"/>
          <w:b/>
          <w:bCs/>
        </w:rPr>
        <w:t>CR</w:t>
      </w:r>
      <w:r w:rsidR="00D009B7">
        <w:rPr>
          <w:rFonts w:ascii="Calibri" w:hAnsi="Calibri" w:cs="Calibri"/>
          <w:b/>
          <w:bCs/>
        </w:rPr>
        <w:t>É</w:t>
      </w:r>
      <w:r w:rsidRPr="00D22C82">
        <w:rPr>
          <w:rFonts w:ascii="Calibri" w:hAnsi="Calibri" w:cs="Calibri"/>
          <w:b/>
          <w:bCs/>
        </w:rPr>
        <w:t>DITO</w:t>
      </w:r>
      <w:r w:rsidRPr="00D22C82" w:rsidR="00B13572">
        <w:rPr>
          <w:rFonts w:ascii="Calibri" w:hAnsi="Calibri" w:cs="Calibri"/>
          <w:b/>
          <w:bCs/>
        </w:rPr>
        <w:t xml:space="preserve"> </w:t>
      </w:r>
    </w:p>
    <w:p w:rsidRPr="00D22C82" w:rsidR="00B5475A" w:rsidP="00D97D31" w:rsidRDefault="00B5475A" w14:paraId="2D007DC7" w14:textId="7CD764C1">
      <w:pPr>
        <w:spacing w:after="0"/>
        <w:jc w:val="center"/>
        <w:rPr>
          <w:rFonts w:ascii="Calibri" w:hAnsi="Calibri" w:cs="Calibri"/>
          <w:b/>
          <w:bCs/>
        </w:rPr>
      </w:pPr>
      <w:r w:rsidRPr="503F539B">
        <w:rPr>
          <w:rFonts w:ascii="Calibri" w:hAnsi="Calibri" w:cs="Calibri"/>
          <w:b/>
          <w:bCs/>
        </w:rPr>
        <w:t xml:space="preserve">CÓDIGO BPIN: </w:t>
      </w:r>
      <w:r w:rsidRPr="75FA73AC" w:rsidR="4C45226D">
        <w:rPr>
          <w:rFonts w:ascii="Calibri" w:hAnsi="Calibri" w:cs="Calibri"/>
          <w:b/>
          <w:bCs/>
        </w:rPr>
        <w:t>202600000013949</w:t>
      </w:r>
    </w:p>
    <w:p w:rsidRPr="00D22C82" w:rsidR="0024171E" w:rsidP="00D97D31" w:rsidRDefault="00F2777A" w14:paraId="1495288C" w14:textId="6734DC28">
      <w:pPr>
        <w:spacing w:after="0"/>
        <w:jc w:val="center"/>
        <w:rPr>
          <w:rFonts w:ascii="Calibri" w:hAnsi="Calibri" w:cs="Calibri"/>
          <w:b/>
          <w:bCs/>
        </w:rPr>
      </w:pPr>
      <w:r w:rsidRPr="503F539B">
        <w:rPr>
          <w:rFonts w:ascii="Calibri" w:hAnsi="Calibri" w:cs="Calibri"/>
          <w:b/>
          <w:bCs/>
        </w:rPr>
        <w:t>“</w:t>
      </w:r>
      <w:r w:rsidRPr="503F539B" w:rsidR="1161BC39">
        <w:rPr>
          <w:rFonts w:ascii="Calibri" w:hAnsi="Calibri" w:cs="Calibri"/>
          <w:b/>
          <w:bCs/>
        </w:rPr>
        <w:t>FONDO UNICO D</w:t>
      </w:r>
      <w:r w:rsidRPr="503F539B" w:rsidR="1161BC39">
        <w:rPr>
          <w:rFonts w:eastAsiaTheme="minorEastAsia"/>
          <w:b/>
          <w:bCs/>
        </w:rPr>
        <w:t>E SOLUCIONES EN</w:t>
      </w:r>
      <w:r w:rsidRPr="503F539B" w:rsidR="1161BC39">
        <w:rPr>
          <w:rFonts w:ascii="Calibri" w:hAnsi="Calibri" w:cs="Calibri"/>
          <w:b/>
          <w:bCs/>
        </w:rPr>
        <w:t>ERGÉTICAS - FONENERGIA</w:t>
      </w:r>
      <w:r w:rsidRPr="503F539B">
        <w:rPr>
          <w:rFonts w:ascii="Calibri" w:hAnsi="Calibri" w:cs="Calibri"/>
          <w:b/>
          <w:bCs/>
        </w:rPr>
        <w:t>”</w:t>
      </w:r>
    </w:p>
    <w:p w:rsidRPr="00D22C82" w:rsidR="00F35A3A" w:rsidP="00D97D31" w:rsidRDefault="00F35A3A" w14:paraId="40921175" w14:textId="77777777">
      <w:pPr>
        <w:spacing w:after="0"/>
        <w:jc w:val="center"/>
        <w:rPr>
          <w:rFonts w:ascii="Calibri" w:hAnsi="Calibri" w:cs="Calibri"/>
          <w:b/>
          <w:bCs/>
        </w:rPr>
      </w:pPr>
    </w:p>
    <w:p w:rsidRPr="00D22C82" w:rsidR="00F35A3A" w:rsidP="00D97D31" w:rsidRDefault="00F35A3A" w14:paraId="6537751C" w14:textId="65E0E730">
      <w:pPr>
        <w:spacing w:after="0"/>
        <w:jc w:val="center"/>
        <w:rPr>
          <w:rFonts w:ascii="Calibri" w:hAnsi="Calibri" w:cs="Calibri"/>
          <w:b/>
          <w:bCs/>
        </w:rPr>
      </w:pPr>
    </w:p>
    <w:p w:rsidRPr="00D22C82" w:rsidR="00B94457" w:rsidP="00D97D31" w:rsidRDefault="00B94457" w14:paraId="6745789A" w14:textId="77777777">
      <w:pPr>
        <w:spacing w:after="0"/>
        <w:jc w:val="center"/>
        <w:rPr>
          <w:rFonts w:ascii="Calibri" w:hAnsi="Calibri" w:cs="Calibri"/>
          <w:b/>
          <w:bCs/>
        </w:rPr>
      </w:pPr>
    </w:p>
    <w:p w:rsidRPr="00D22C82" w:rsidR="00B94457" w:rsidP="00D97D31" w:rsidRDefault="00B94457" w14:paraId="69135EC8" w14:textId="77777777">
      <w:pPr>
        <w:spacing w:after="0"/>
        <w:jc w:val="center"/>
        <w:rPr>
          <w:rFonts w:ascii="Calibri" w:hAnsi="Calibri" w:cs="Calibri"/>
          <w:b/>
          <w:bCs/>
        </w:rPr>
      </w:pPr>
    </w:p>
    <w:p w:rsidRPr="00D22C82" w:rsidR="00B5475A" w:rsidP="00D97D31" w:rsidRDefault="00B5475A" w14:paraId="2BDA6873" w14:textId="3D2DD3CC">
      <w:pPr>
        <w:spacing w:after="0"/>
        <w:jc w:val="center"/>
        <w:rPr>
          <w:rFonts w:eastAsiaTheme="minorEastAsia"/>
          <w:b/>
          <w:bCs/>
        </w:rPr>
      </w:pPr>
      <w:r w:rsidRPr="503F539B">
        <w:rPr>
          <w:rFonts w:eastAsiaTheme="minorEastAsia"/>
          <w:b/>
          <w:bCs/>
        </w:rPr>
        <w:t>PROYECTO</w:t>
      </w:r>
      <w:r w:rsidRPr="503F539B" w:rsidR="468F680C">
        <w:rPr>
          <w:rFonts w:eastAsiaTheme="minorEastAsia"/>
          <w:b/>
          <w:bCs/>
        </w:rPr>
        <w:t>S</w:t>
      </w:r>
      <w:r w:rsidRPr="503F539B">
        <w:rPr>
          <w:rFonts w:eastAsiaTheme="minorEastAsia"/>
          <w:b/>
          <w:bCs/>
        </w:rPr>
        <w:t xml:space="preserve"> </w:t>
      </w:r>
      <w:r w:rsidR="00D009B7">
        <w:rPr>
          <w:rFonts w:eastAsiaTheme="minorEastAsia"/>
          <w:b/>
          <w:bCs/>
        </w:rPr>
        <w:t>CONTRA</w:t>
      </w:r>
      <w:r w:rsidRPr="503F539B">
        <w:rPr>
          <w:rFonts w:eastAsiaTheme="minorEastAsia"/>
          <w:b/>
          <w:bCs/>
        </w:rPr>
        <w:t>CR</w:t>
      </w:r>
      <w:r w:rsidRPr="503F539B" w:rsidR="00AC2C8A">
        <w:rPr>
          <w:rFonts w:eastAsiaTheme="minorEastAsia"/>
          <w:b/>
          <w:bCs/>
        </w:rPr>
        <w:t>É</w:t>
      </w:r>
      <w:r w:rsidRPr="503F539B">
        <w:rPr>
          <w:rFonts w:eastAsiaTheme="minorEastAsia"/>
          <w:b/>
          <w:bCs/>
        </w:rPr>
        <w:t>DITO</w:t>
      </w:r>
      <w:r w:rsidR="00D009B7">
        <w:rPr>
          <w:rFonts w:eastAsiaTheme="minorEastAsia"/>
          <w:b/>
          <w:bCs/>
        </w:rPr>
        <w:t>S</w:t>
      </w:r>
    </w:p>
    <w:p w:rsidRPr="00D22C82" w:rsidR="00B5475A" w:rsidP="00D97D31" w:rsidRDefault="00B5475A" w14:paraId="4D2CFD54" w14:textId="166A6681">
      <w:pPr>
        <w:spacing w:after="0"/>
        <w:ind w:left="708" w:hanging="708"/>
        <w:jc w:val="center"/>
        <w:rPr>
          <w:rFonts w:eastAsiaTheme="minorEastAsia"/>
          <w:b/>
          <w:bCs/>
        </w:rPr>
      </w:pPr>
      <w:bookmarkStart w:name="_Hlk211794569" w:id="0"/>
      <w:r w:rsidRPr="503F539B">
        <w:rPr>
          <w:rFonts w:eastAsiaTheme="minorEastAsia"/>
          <w:b/>
          <w:bCs/>
        </w:rPr>
        <w:t xml:space="preserve">BPIN: </w:t>
      </w:r>
      <w:r w:rsidRPr="503F539B" w:rsidR="238466A7">
        <w:rPr>
          <w:rFonts w:eastAsiaTheme="minorEastAsia"/>
          <w:b/>
          <w:bCs/>
        </w:rPr>
        <w:t>2022011000082</w:t>
      </w:r>
      <w:r w:rsidRPr="503F539B" w:rsidR="3945543C">
        <w:rPr>
          <w:rFonts w:eastAsiaTheme="minorEastAsia"/>
          <w:b/>
          <w:bCs/>
        </w:rPr>
        <w:t xml:space="preserve"> -</w:t>
      </w:r>
      <w:r w:rsidRPr="503F539B" w:rsidR="29988D8D">
        <w:rPr>
          <w:rFonts w:eastAsiaTheme="minorEastAsia"/>
          <w:b/>
          <w:bCs/>
        </w:rPr>
        <w:t xml:space="preserve"> </w:t>
      </w:r>
      <w:r w:rsidRPr="503F539B" w:rsidR="6AFDA953">
        <w:rPr>
          <w:rFonts w:eastAsiaTheme="minorEastAsia"/>
          <w:b/>
          <w:bCs/>
        </w:rPr>
        <w:t>Fondo de Apoyo Financiero para la Energización de las Zonas No Interconectadas - FAZNI</w:t>
      </w:r>
    </w:p>
    <w:bookmarkEnd w:id="0"/>
    <w:p w:rsidR="12E66778" w:rsidP="00D97D31" w:rsidRDefault="12E66778" w14:paraId="0DBDA651" w14:textId="5923BCAE">
      <w:pPr>
        <w:spacing w:after="0"/>
        <w:jc w:val="center"/>
        <w:rPr>
          <w:rFonts w:eastAsiaTheme="minorEastAsia"/>
          <w:b/>
          <w:bCs/>
        </w:rPr>
      </w:pPr>
      <w:r w:rsidRPr="503F539B">
        <w:rPr>
          <w:rFonts w:eastAsiaTheme="minorEastAsia"/>
          <w:b/>
          <w:bCs/>
        </w:rPr>
        <w:t xml:space="preserve">BPIN: </w:t>
      </w:r>
      <w:r w:rsidRPr="503F539B" w:rsidR="242D4592">
        <w:rPr>
          <w:rFonts w:eastAsiaTheme="minorEastAsia"/>
          <w:b/>
          <w:bCs/>
        </w:rPr>
        <w:t>2018011001048</w:t>
      </w:r>
      <w:r w:rsidRPr="503F539B">
        <w:rPr>
          <w:rFonts w:eastAsiaTheme="minorEastAsia"/>
          <w:b/>
          <w:bCs/>
        </w:rPr>
        <w:t xml:space="preserve"> - </w:t>
      </w:r>
      <w:r w:rsidRPr="503F539B" w:rsidR="0618B77B">
        <w:rPr>
          <w:rFonts w:eastAsiaTheme="minorEastAsia"/>
          <w:b/>
          <w:bCs/>
        </w:rPr>
        <w:t>Fondo de Apoyo Financiero para la Energización de las Zonas Rurales Interconectadas</w:t>
      </w:r>
      <w:r w:rsidRPr="503F539B" w:rsidR="29D28476">
        <w:rPr>
          <w:rFonts w:eastAsiaTheme="minorEastAsia"/>
          <w:b/>
          <w:bCs/>
        </w:rPr>
        <w:t xml:space="preserve"> –</w:t>
      </w:r>
      <w:r w:rsidRPr="503F539B" w:rsidR="0618B77B">
        <w:rPr>
          <w:rFonts w:eastAsiaTheme="minorEastAsia"/>
          <w:b/>
          <w:bCs/>
        </w:rPr>
        <w:t>FAER</w:t>
      </w:r>
    </w:p>
    <w:p w:rsidR="47FAE6F6" w:rsidP="00D97D31" w:rsidRDefault="47FAE6F6" w14:paraId="668B707B" w14:textId="6B7604F2">
      <w:pPr>
        <w:spacing w:after="0"/>
        <w:jc w:val="center"/>
        <w:rPr>
          <w:rFonts w:eastAsiaTheme="minorEastAsia"/>
          <w:b/>
          <w:bCs/>
        </w:rPr>
      </w:pPr>
      <w:r w:rsidRPr="503F539B">
        <w:rPr>
          <w:rFonts w:eastAsiaTheme="minorEastAsia"/>
          <w:b/>
          <w:bCs/>
        </w:rPr>
        <w:t xml:space="preserve">BPIN: </w:t>
      </w:r>
      <w:r w:rsidRPr="503F539B" w:rsidR="1F7328F1">
        <w:rPr>
          <w:rFonts w:eastAsiaTheme="minorEastAsia"/>
          <w:b/>
          <w:bCs/>
        </w:rPr>
        <w:t>2018011001045</w:t>
      </w:r>
      <w:r w:rsidRPr="503F539B">
        <w:rPr>
          <w:rFonts w:eastAsiaTheme="minorEastAsia"/>
          <w:b/>
          <w:bCs/>
        </w:rPr>
        <w:t xml:space="preserve"> –</w:t>
      </w:r>
      <w:r w:rsidRPr="503F539B" w:rsidR="1C93D63A">
        <w:rPr>
          <w:rFonts w:eastAsiaTheme="minorEastAsia"/>
          <w:b/>
          <w:bCs/>
        </w:rPr>
        <w:t xml:space="preserve"> </w:t>
      </w:r>
      <w:r w:rsidRPr="503F539B" w:rsidR="00095022">
        <w:rPr>
          <w:rFonts w:eastAsiaTheme="minorEastAsia"/>
          <w:b/>
          <w:bCs/>
        </w:rPr>
        <w:t xml:space="preserve">programa de normalización de redes eléctricas </w:t>
      </w:r>
      <w:r w:rsidRPr="503F539B">
        <w:rPr>
          <w:rFonts w:eastAsiaTheme="minorEastAsia"/>
          <w:b/>
          <w:bCs/>
        </w:rPr>
        <w:t>-PRONE</w:t>
      </w:r>
    </w:p>
    <w:p w:rsidRPr="00D22C82" w:rsidR="00B94457" w:rsidP="00D97D31" w:rsidRDefault="00B94457" w14:paraId="34BCD3DB" w14:textId="77777777">
      <w:pPr>
        <w:spacing w:after="0"/>
        <w:jc w:val="center"/>
        <w:rPr>
          <w:rFonts w:ascii="Calibri" w:hAnsi="Calibri" w:cs="Calibri"/>
          <w:b/>
          <w:bCs/>
        </w:rPr>
      </w:pPr>
    </w:p>
    <w:p w:rsidRPr="00D22C82" w:rsidR="00B94457" w:rsidP="00D97D31" w:rsidRDefault="00B94457" w14:paraId="47C7A005" w14:textId="77777777">
      <w:pPr>
        <w:spacing w:after="0"/>
        <w:jc w:val="center"/>
        <w:rPr>
          <w:rFonts w:ascii="Calibri" w:hAnsi="Calibri" w:cs="Calibri"/>
          <w:b/>
          <w:bCs/>
        </w:rPr>
      </w:pPr>
    </w:p>
    <w:p w:rsidRPr="00D22C82" w:rsidR="00B5475A" w:rsidP="00D97D31" w:rsidRDefault="00B5475A" w14:paraId="28E7C5D2" w14:textId="4A0FE16B">
      <w:pPr>
        <w:spacing w:after="0"/>
        <w:jc w:val="center"/>
        <w:rPr>
          <w:rFonts w:ascii="Calibri" w:hAnsi="Calibri" w:cs="Calibri"/>
          <w:b/>
        </w:rPr>
      </w:pPr>
      <w:r w:rsidRPr="0CF72358">
        <w:rPr>
          <w:rFonts w:ascii="Calibri" w:hAnsi="Calibri" w:cs="Calibri"/>
          <w:b/>
          <w:bCs/>
        </w:rPr>
        <w:t xml:space="preserve">PROGRAMA: </w:t>
      </w:r>
      <w:r w:rsidRPr="4DF6BF58" w:rsidR="1F75A5B8">
        <w:rPr>
          <w:rFonts w:ascii="Calibri" w:hAnsi="Calibri" w:cs="Calibri"/>
          <w:b/>
          <w:bCs/>
          <w:highlight w:val="yellow"/>
        </w:rPr>
        <w:t>2102 – Consolidación Productiva del Sector de Energía Eléctrica</w:t>
      </w:r>
    </w:p>
    <w:p w:rsidRPr="00D22C82" w:rsidR="00B94457" w:rsidP="00D97D31" w:rsidRDefault="00B94457" w14:paraId="7C384617" w14:textId="77777777">
      <w:pPr>
        <w:spacing w:after="0"/>
        <w:jc w:val="center"/>
        <w:rPr>
          <w:rFonts w:ascii="Calibri" w:hAnsi="Calibri" w:cs="Calibri"/>
          <w:b/>
          <w:bCs/>
        </w:rPr>
      </w:pPr>
    </w:p>
    <w:p w:rsidRPr="00D22C82" w:rsidR="00B94457" w:rsidP="00D97D31" w:rsidRDefault="00B94457" w14:paraId="0E89EC26" w14:textId="77777777">
      <w:pPr>
        <w:spacing w:after="0"/>
        <w:jc w:val="center"/>
        <w:rPr>
          <w:rFonts w:ascii="Calibri" w:hAnsi="Calibri" w:cs="Calibri"/>
          <w:b/>
          <w:bCs/>
        </w:rPr>
      </w:pPr>
    </w:p>
    <w:p w:rsidRPr="00D22C82" w:rsidR="00B5475A" w:rsidP="00D97D31" w:rsidRDefault="00B5475A" w14:paraId="1D382447" w14:textId="6B3C4A5F">
      <w:pPr>
        <w:spacing w:after="0"/>
        <w:jc w:val="center"/>
        <w:rPr>
          <w:rFonts w:ascii="Calibri" w:hAnsi="Calibri" w:cs="Calibri"/>
          <w:b/>
          <w:bCs/>
        </w:rPr>
      </w:pPr>
      <w:r w:rsidRPr="503F539B">
        <w:rPr>
          <w:rFonts w:ascii="Calibri" w:hAnsi="Calibri" w:cs="Calibri"/>
          <w:b/>
          <w:bCs/>
        </w:rPr>
        <w:t xml:space="preserve">SUBPROGRAMA: </w:t>
      </w:r>
      <w:r w:rsidRPr="503F539B">
        <w:rPr>
          <w:rFonts w:ascii="Calibri" w:hAnsi="Calibri" w:cs="Calibri"/>
          <w:b/>
          <w:bCs/>
          <w:highlight w:val="yellow"/>
        </w:rPr>
        <w:t>1900 – INTERSUBSECTORIAL MINAS Y ENERGÍA</w:t>
      </w:r>
    </w:p>
    <w:p w:rsidRPr="00D22C82" w:rsidR="00B94457" w:rsidP="00D97D31" w:rsidRDefault="00B94457" w14:paraId="0AAA6CEF" w14:textId="77777777">
      <w:pPr>
        <w:spacing w:after="0"/>
        <w:jc w:val="center"/>
        <w:rPr>
          <w:rFonts w:ascii="Calibri" w:hAnsi="Calibri" w:cs="Calibri"/>
          <w:b/>
          <w:bCs/>
        </w:rPr>
      </w:pPr>
    </w:p>
    <w:p w:rsidRPr="00D22C82" w:rsidR="00B94457" w:rsidP="00D97D31" w:rsidRDefault="00B94457" w14:paraId="764DEAF5" w14:textId="77777777">
      <w:pPr>
        <w:spacing w:after="0"/>
        <w:jc w:val="center"/>
        <w:rPr>
          <w:rFonts w:ascii="Calibri" w:hAnsi="Calibri" w:cs="Calibri"/>
          <w:b/>
          <w:bCs/>
        </w:rPr>
      </w:pPr>
    </w:p>
    <w:p w:rsidRPr="00D22C82" w:rsidR="00B94457" w:rsidP="00D97D31" w:rsidRDefault="00B94457" w14:paraId="2D2FB35B" w14:textId="77777777">
      <w:pPr>
        <w:spacing w:after="0"/>
        <w:jc w:val="center"/>
        <w:rPr>
          <w:rFonts w:ascii="Calibri" w:hAnsi="Calibri" w:cs="Calibri"/>
          <w:b/>
          <w:bCs/>
        </w:rPr>
      </w:pPr>
    </w:p>
    <w:p w:rsidRPr="00D22C82" w:rsidR="00B5475A" w:rsidP="00D97D31" w:rsidRDefault="00B5475A" w14:paraId="4CE2F708" w14:textId="77777777">
      <w:pPr>
        <w:spacing w:after="0"/>
        <w:jc w:val="center"/>
        <w:rPr>
          <w:rFonts w:ascii="Calibri" w:hAnsi="Calibri" w:cs="Calibri"/>
          <w:b/>
          <w:bCs/>
        </w:rPr>
      </w:pPr>
      <w:r w:rsidRPr="00D22C82">
        <w:rPr>
          <w:rFonts w:ascii="Calibri" w:hAnsi="Calibri" w:cs="Calibri"/>
          <w:b/>
          <w:bCs/>
        </w:rPr>
        <w:t>VALOR DEL TRASLADO PRESUPUESTAL</w:t>
      </w:r>
    </w:p>
    <w:p w:rsidRPr="00D22C82" w:rsidR="00B94457" w:rsidP="00D97D31" w:rsidRDefault="00B94457" w14:paraId="569ADD1F" w14:textId="77777777">
      <w:pPr>
        <w:spacing w:after="0"/>
        <w:jc w:val="center"/>
        <w:rPr>
          <w:rFonts w:ascii="Calibri" w:hAnsi="Calibri" w:cs="Calibri"/>
          <w:b/>
          <w:bCs/>
        </w:rPr>
      </w:pPr>
    </w:p>
    <w:p w:rsidRPr="00D22C82" w:rsidR="00B94457" w:rsidP="00D97D31" w:rsidRDefault="00B94457" w14:paraId="455C7D16" w14:textId="77777777">
      <w:pPr>
        <w:spacing w:after="0"/>
        <w:jc w:val="center"/>
        <w:rPr>
          <w:rFonts w:ascii="Calibri" w:hAnsi="Calibri" w:cs="Calibri"/>
          <w:b/>
          <w:bCs/>
        </w:rPr>
      </w:pPr>
    </w:p>
    <w:p w:rsidRPr="00D22C82" w:rsidR="00B94457" w:rsidP="00D97D31" w:rsidRDefault="00B94457" w14:paraId="5580BDC9" w14:textId="77777777">
      <w:pPr>
        <w:spacing w:after="0"/>
        <w:jc w:val="center"/>
        <w:rPr>
          <w:rFonts w:ascii="Calibri" w:hAnsi="Calibri" w:cs="Calibri"/>
          <w:b/>
          <w:bCs/>
        </w:rPr>
      </w:pPr>
    </w:p>
    <w:p w:rsidR="00B5475A" w:rsidP="00D97D31" w:rsidRDefault="00B5475A" w14:paraId="6311D3E1" w14:textId="41C070B9">
      <w:pPr>
        <w:spacing w:after="0"/>
        <w:jc w:val="center"/>
        <w:rPr>
          <w:rFonts w:ascii="Calibri" w:hAnsi="Calibri" w:cs="Calibri"/>
          <w:b/>
          <w:bCs/>
        </w:rPr>
      </w:pPr>
      <w:r w:rsidRPr="00D22C82">
        <w:rPr>
          <w:rFonts w:ascii="Calibri" w:hAnsi="Calibri" w:cs="Calibri"/>
          <w:b/>
          <w:bCs/>
        </w:rPr>
        <w:t>Tabla 1. Recursos</w:t>
      </w:r>
      <w:r w:rsidR="00B80B88">
        <w:rPr>
          <w:rFonts w:ascii="Calibri" w:hAnsi="Calibri" w:cs="Calibri"/>
          <w:b/>
          <w:bCs/>
        </w:rPr>
        <w:t xml:space="preserve"> totales</w:t>
      </w:r>
      <w:r w:rsidRPr="00D22C82">
        <w:rPr>
          <w:rFonts w:ascii="Calibri" w:hAnsi="Calibri" w:cs="Calibri"/>
          <w:b/>
          <w:bCs/>
        </w:rPr>
        <w:t xml:space="preserve"> del traslado presupuestal</w:t>
      </w:r>
    </w:p>
    <w:p w:rsidRPr="00D22C82" w:rsidR="009E19A6" w:rsidP="00D97D31" w:rsidRDefault="009E19A6" w14:paraId="7D57AB1C" w14:textId="77777777">
      <w:pPr>
        <w:spacing w:after="0"/>
        <w:jc w:val="center"/>
        <w:rPr>
          <w:rFonts w:ascii="Calibri" w:hAnsi="Calibri" w:cs="Calibri"/>
          <w:b/>
          <w:bCs/>
        </w:rPr>
      </w:pPr>
    </w:p>
    <w:tbl>
      <w:tblPr>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ook w:val="01E0" w:firstRow="1" w:lastRow="1" w:firstColumn="1" w:lastColumn="1" w:noHBand="0" w:noVBand="0"/>
      </w:tblPr>
      <w:tblGrid>
        <w:gridCol w:w="5902"/>
      </w:tblGrid>
      <w:tr w:rsidRPr="00D22C82" w:rsidR="00B5475A" w:rsidTr="000C5F9A" w14:paraId="5F926E72" w14:textId="77777777">
        <w:trPr>
          <w:trHeight w:val="20"/>
          <w:jc w:val="center"/>
        </w:trPr>
        <w:tc>
          <w:tcPr>
            <w:tcW w:w="0" w:type="auto"/>
            <w:tcBorders>
              <w:bottom w:val="single" w:color="000000" w:themeColor="text1" w:sz="4" w:space="0"/>
            </w:tcBorders>
            <w:shd w:val="clear" w:color="auto" w:fill="D9E2F3" w:themeFill="accent1" w:themeFillTint="33"/>
            <w:vAlign w:val="center"/>
          </w:tcPr>
          <w:p w:rsidRPr="000C5F9A" w:rsidR="00B5475A" w:rsidP="00D97D31" w:rsidRDefault="00095022" w14:paraId="169B5181" w14:textId="65C61576">
            <w:pPr>
              <w:pStyle w:val="TableParagraph"/>
              <w:spacing w:line="276" w:lineRule="auto"/>
              <w:ind w:left="1400" w:right="1389"/>
              <w:jc w:val="center"/>
              <w:rPr>
                <w:b/>
                <w:bCs/>
                <w:lang w:val="es-CO"/>
              </w:rPr>
            </w:pPr>
            <w:r w:rsidRPr="000C5F9A">
              <w:rPr>
                <w:b/>
                <w:bCs/>
                <w:color w:val="000000" w:themeColor="text1"/>
                <w:lang w:val="es-CO"/>
              </w:rPr>
              <w:t>Valor</w:t>
            </w:r>
            <w:r w:rsidRPr="000C5F9A">
              <w:rPr>
                <w:b/>
                <w:bCs/>
                <w:color w:val="000000" w:themeColor="text1"/>
                <w:spacing w:val="-5"/>
                <w:lang w:val="es-CO"/>
              </w:rPr>
              <w:t xml:space="preserve"> </w:t>
            </w:r>
            <w:r w:rsidRPr="000C5F9A">
              <w:rPr>
                <w:b/>
                <w:bCs/>
                <w:color w:val="000000" w:themeColor="text1"/>
                <w:lang w:val="es-CO"/>
              </w:rPr>
              <w:t>Del</w:t>
            </w:r>
            <w:r w:rsidRPr="000C5F9A">
              <w:rPr>
                <w:b/>
                <w:bCs/>
                <w:color w:val="000000" w:themeColor="text1"/>
                <w:spacing w:val="-4"/>
                <w:lang w:val="es-CO"/>
              </w:rPr>
              <w:t xml:space="preserve"> </w:t>
            </w:r>
            <w:r w:rsidRPr="000C5F9A">
              <w:rPr>
                <w:b/>
                <w:bCs/>
                <w:color w:val="000000" w:themeColor="text1"/>
                <w:lang w:val="es-CO"/>
              </w:rPr>
              <w:t>Traslado</w:t>
            </w:r>
            <w:r w:rsidRPr="000C5F9A">
              <w:rPr>
                <w:b/>
                <w:bCs/>
                <w:color w:val="000000" w:themeColor="text1"/>
                <w:spacing w:val="-4"/>
                <w:lang w:val="es-CO"/>
              </w:rPr>
              <w:t xml:space="preserve"> </w:t>
            </w:r>
            <w:r w:rsidRPr="000C5F9A">
              <w:rPr>
                <w:b/>
                <w:bCs/>
                <w:color w:val="000000" w:themeColor="text1"/>
                <w:lang w:val="es-CO"/>
              </w:rPr>
              <w:t>Presupuestal</w:t>
            </w:r>
          </w:p>
        </w:tc>
      </w:tr>
      <w:tr w:rsidRPr="00D22C82" w:rsidR="00B5475A" w:rsidTr="4C9DDEC2" w14:paraId="1E0EDB3E" w14:textId="77777777">
        <w:trPr>
          <w:trHeight w:val="20"/>
          <w:jc w:val="center"/>
        </w:trPr>
        <w:tc>
          <w:tcPr>
            <w:tcW w:w="0" w:type="auto"/>
            <w:tcBorders>
              <w:top w:val="single" w:color="000000" w:themeColor="text1" w:sz="4" w:space="0"/>
            </w:tcBorders>
            <w:vAlign w:val="center"/>
          </w:tcPr>
          <w:p w:rsidRPr="00D22C82" w:rsidR="00B5475A" w:rsidP="00D97D31" w:rsidRDefault="11CF3681" w14:paraId="0FA3E82E" w14:textId="4E2CDB64">
            <w:pPr>
              <w:pStyle w:val="TableParagraph"/>
              <w:spacing w:line="276" w:lineRule="auto"/>
              <w:ind w:left="1400" w:right="1381"/>
              <w:jc w:val="center"/>
              <w:rPr>
                <w:highlight w:val="yellow"/>
                <w:lang w:val="es-CO"/>
              </w:rPr>
            </w:pPr>
            <w:r w:rsidRPr="69600099">
              <w:rPr>
                <w:highlight w:val="yellow"/>
                <w:lang w:val="es-CO"/>
              </w:rPr>
              <w:t>$ 119.842.365.408</w:t>
            </w:r>
          </w:p>
        </w:tc>
      </w:tr>
    </w:tbl>
    <w:p w:rsidRPr="00D22C82" w:rsidR="00B5475A" w:rsidP="00D97D31" w:rsidRDefault="00B5475A" w14:paraId="08F7699D" w14:textId="77777777">
      <w:pPr>
        <w:spacing w:after="0"/>
        <w:jc w:val="center"/>
        <w:rPr>
          <w:rFonts w:ascii="Calibri" w:hAnsi="Calibri" w:cs="Calibri"/>
          <w:b/>
          <w:bCs/>
        </w:rPr>
      </w:pPr>
    </w:p>
    <w:p w:rsidRPr="00D22C82" w:rsidR="0024171E" w:rsidP="00D97D31" w:rsidRDefault="0024171E" w14:paraId="6A6E95A4" w14:textId="77777777">
      <w:pPr>
        <w:spacing w:after="0"/>
        <w:jc w:val="center"/>
        <w:rPr>
          <w:rFonts w:ascii="Calibri" w:hAnsi="Calibri" w:cs="Calibri"/>
          <w:b/>
          <w:bCs/>
        </w:rPr>
      </w:pPr>
    </w:p>
    <w:p w:rsidRPr="00D22C82" w:rsidR="0024171E" w:rsidP="00D97D31" w:rsidRDefault="0024171E" w14:paraId="68975AE6" w14:textId="77777777">
      <w:pPr>
        <w:spacing w:after="0"/>
        <w:jc w:val="center"/>
        <w:rPr>
          <w:rFonts w:ascii="Calibri" w:hAnsi="Calibri" w:cs="Calibri"/>
          <w:b/>
          <w:bCs/>
        </w:rPr>
      </w:pPr>
    </w:p>
    <w:p w:rsidRPr="00D22C82" w:rsidR="0024171E" w:rsidP="00D97D31" w:rsidRDefault="0024171E" w14:paraId="7E3AADDF" w14:textId="77777777">
      <w:pPr>
        <w:spacing w:after="0"/>
        <w:jc w:val="center"/>
        <w:rPr>
          <w:rFonts w:ascii="Calibri" w:hAnsi="Calibri" w:cs="Calibri"/>
          <w:b/>
          <w:bCs/>
        </w:rPr>
      </w:pPr>
    </w:p>
    <w:p w:rsidRPr="00D22C82" w:rsidR="0024171E" w:rsidP="00D97D31" w:rsidRDefault="0024171E" w14:paraId="6087992D" w14:textId="77777777">
      <w:pPr>
        <w:spacing w:after="0"/>
        <w:jc w:val="center"/>
        <w:rPr>
          <w:rFonts w:ascii="Calibri" w:hAnsi="Calibri" w:cs="Calibri"/>
          <w:b/>
          <w:bCs/>
        </w:rPr>
      </w:pPr>
    </w:p>
    <w:p w:rsidRPr="00D22C82" w:rsidR="0024171E" w:rsidP="00D97D31" w:rsidRDefault="0024171E" w14:paraId="68D4E919" w14:textId="77777777">
      <w:pPr>
        <w:spacing w:after="0"/>
        <w:jc w:val="center"/>
        <w:rPr>
          <w:rFonts w:ascii="Calibri" w:hAnsi="Calibri" w:cs="Calibri"/>
          <w:b/>
          <w:bCs/>
        </w:rPr>
      </w:pPr>
    </w:p>
    <w:p w:rsidRPr="00D22C82" w:rsidR="0024171E" w:rsidP="00D97D31" w:rsidRDefault="0024171E" w14:paraId="3E19AB58" w14:textId="77777777">
      <w:pPr>
        <w:spacing w:after="0"/>
        <w:jc w:val="center"/>
        <w:rPr>
          <w:rFonts w:ascii="Calibri" w:hAnsi="Calibri" w:cs="Calibri"/>
          <w:b/>
          <w:bCs/>
        </w:rPr>
      </w:pPr>
    </w:p>
    <w:p w:rsidRPr="00D22C82" w:rsidR="0024171E" w:rsidP="00D97D31" w:rsidRDefault="0024171E" w14:paraId="053518E0" w14:textId="77777777">
      <w:pPr>
        <w:spacing w:after="0"/>
        <w:jc w:val="center"/>
        <w:rPr>
          <w:rFonts w:ascii="Calibri" w:hAnsi="Calibri" w:cs="Calibri"/>
          <w:b/>
          <w:bCs/>
        </w:rPr>
      </w:pPr>
    </w:p>
    <w:p w:rsidR="00856AE3" w:rsidP="00D97D31" w:rsidRDefault="00B5475A" w14:paraId="351CFF0A" w14:textId="5F0D85F2">
      <w:pPr>
        <w:spacing w:after="0"/>
        <w:ind w:left="274" w:right="279"/>
        <w:jc w:val="center"/>
        <w:rPr>
          <w:rFonts w:ascii="Calibri" w:hAnsi="Calibri" w:cs="Calibri"/>
          <w:b/>
          <w:bCs/>
        </w:rPr>
      </w:pPr>
      <w:r w:rsidRPr="4C9DDEC2">
        <w:rPr>
          <w:rFonts w:ascii="Calibri" w:hAnsi="Calibri" w:cs="Calibri"/>
          <w:b/>
          <w:bCs/>
        </w:rPr>
        <w:t>TABLA</w:t>
      </w:r>
      <w:r w:rsidRPr="4C9DDEC2">
        <w:rPr>
          <w:rFonts w:ascii="Calibri" w:hAnsi="Calibri" w:cs="Calibri"/>
          <w:b/>
          <w:bCs/>
          <w:spacing w:val="-3"/>
        </w:rPr>
        <w:t xml:space="preserve"> </w:t>
      </w:r>
      <w:r w:rsidRPr="4C9DDEC2">
        <w:rPr>
          <w:rFonts w:ascii="Calibri" w:hAnsi="Calibri" w:cs="Calibri"/>
          <w:b/>
          <w:bCs/>
        </w:rPr>
        <w:t>DE</w:t>
      </w:r>
      <w:r w:rsidRPr="4C9DDEC2">
        <w:rPr>
          <w:rFonts w:ascii="Calibri" w:hAnsi="Calibri" w:cs="Calibri"/>
          <w:b/>
          <w:bCs/>
          <w:spacing w:val="-2"/>
        </w:rPr>
        <w:t xml:space="preserve"> </w:t>
      </w:r>
      <w:r w:rsidRPr="4C9DDEC2">
        <w:rPr>
          <w:rFonts w:ascii="Calibri" w:hAnsi="Calibri" w:cs="Calibri"/>
          <w:b/>
          <w:bCs/>
        </w:rPr>
        <w:t>CONTENIDO</w:t>
      </w:r>
    </w:p>
    <w:p w:rsidRPr="00D22C82" w:rsidR="00E0160D" w:rsidP="00D97D31" w:rsidRDefault="00E0160D" w14:paraId="5E4D0424" w14:textId="77777777">
      <w:pPr>
        <w:spacing w:after="0"/>
        <w:ind w:left="274" w:right="279"/>
        <w:jc w:val="center"/>
      </w:pPr>
    </w:p>
    <w:sdt>
      <w:sdtPr>
        <w:id w:val="-168556607"/>
        <w:docPartObj>
          <w:docPartGallery w:val="Table of Contents"/>
          <w:docPartUnique/>
        </w:docPartObj>
        <w:rPr>
          <w:rFonts w:ascii="Calibri" w:hAnsi="Calibri" w:eastAsia="" w:cs="" w:asciiTheme="minorAscii" w:hAnsiTheme="minorAscii" w:eastAsiaTheme="minorEastAsia" w:cstheme="minorBidi"/>
          <w:b w:val="0"/>
          <w:bCs w:val="0"/>
          <w:sz w:val="22"/>
          <w:szCs w:val="22"/>
          <w:lang w:val="es-CO"/>
        </w:rPr>
      </w:sdtPr>
      <w:sdtContent>
        <w:p w:rsidR="00BE363D" w:rsidP="00D97D31" w:rsidRDefault="00856AE3" w14:paraId="2E222455" w14:textId="740E08C0">
          <w:pPr>
            <w:pStyle w:val="TOC1"/>
            <w:tabs>
              <w:tab w:val="right" w:leader="dot" w:pos="9394"/>
            </w:tabs>
            <w:spacing w:line="276" w:lineRule="auto"/>
            <w:rPr>
              <w:rFonts w:asciiTheme="minorHAnsi" w:hAnsiTheme="minorHAnsi" w:eastAsiaTheme="minorEastAsia" w:cstheme="minorBidi"/>
              <w:b w:val="0"/>
              <w:bCs w:val="0"/>
              <w:noProof/>
              <w:kern w:val="2"/>
              <w:lang w:val="es-CO" w:eastAsia="es-CO"/>
              <w14:ligatures w14:val="standardContextual"/>
            </w:rPr>
          </w:pPr>
          <w:r w:rsidRPr="00D22C82">
            <w:fldChar w:fldCharType="begin"/>
          </w:r>
          <w:r>
            <w:instrText>TOC \o "1-3" \z \u \h</w:instrText>
          </w:r>
          <w:r w:rsidRPr="00D22C82">
            <w:fldChar w:fldCharType="separate"/>
          </w:r>
          <w:hyperlink w:history="1" w:anchor="_Toc230792106">
            <w:r w:rsidRPr="00900969" w:rsidR="00BE363D">
              <w:rPr>
                <w:rStyle w:val="Hyperlink"/>
                <w:noProof/>
              </w:rPr>
              <w:t>1.</w:t>
            </w:r>
            <w:r w:rsidR="00BE363D">
              <w:rPr>
                <w:rFonts w:asciiTheme="minorHAnsi" w:hAnsiTheme="minorHAnsi" w:eastAsiaTheme="minorEastAsia" w:cstheme="minorBidi"/>
                <w:b w:val="0"/>
                <w:bCs w:val="0"/>
                <w:noProof/>
                <w:kern w:val="2"/>
                <w:lang w:val="es-CO" w:eastAsia="es-CO"/>
                <w14:ligatures w14:val="standardContextual"/>
              </w:rPr>
              <w:tab/>
            </w:r>
            <w:r w:rsidRPr="00900969" w:rsidR="00BE363D">
              <w:rPr>
                <w:rStyle w:val="Hyperlink"/>
                <w:noProof/>
              </w:rPr>
              <w:t>INTRODUCCIÓN</w:t>
            </w:r>
            <w:r w:rsidR="00BE363D">
              <w:rPr>
                <w:noProof/>
                <w:webHidden/>
              </w:rPr>
              <w:tab/>
            </w:r>
            <w:r w:rsidR="00BE363D">
              <w:rPr>
                <w:noProof/>
                <w:webHidden/>
              </w:rPr>
              <w:fldChar w:fldCharType="begin"/>
            </w:r>
            <w:r w:rsidR="00BE363D">
              <w:rPr>
                <w:noProof/>
                <w:webHidden/>
              </w:rPr>
              <w:instrText xml:space="preserve"> PAGEREF _Toc230792106 \h </w:instrText>
            </w:r>
            <w:r w:rsidR="00BE363D">
              <w:rPr>
                <w:noProof/>
                <w:webHidden/>
              </w:rPr>
            </w:r>
            <w:r w:rsidR="00BE363D">
              <w:rPr>
                <w:noProof/>
                <w:webHidden/>
              </w:rPr>
              <w:fldChar w:fldCharType="separate"/>
            </w:r>
            <w:r w:rsidR="00BE363D">
              <w:rPr>
                <w:noProof/>
                <w:webHidden/>
              </w:rPr>
              <w:t>3</w:t>
            </w:r>
            <w:r w:rsidR="00BE363D">
              <w:rPr>
                <w:noProof/>
                <w:webHidden/>
              </w:rPr>
              <w:fldChar w:fldCharType="end"/>
            </w:r>
          </w:hyperlink>
        </w:p>
        <w:p w:rsidR="00BE363D" w:rsidP="00D97D31" w:rsidRDefault="00BE363D" w14:paraId="6ED8AE63" w14:textId="1D0FD7D7">
          <w:pPr>
            <w:pStyle w:val="TOC2"/>
            <w:tabs>
              <w:tab w:val="right" w:leader="dot" w:pos="9394"/>
            </w:tabs>
            <w:spacing w:line="276" w:lineRule="auto"/>
            <w:rPr>
              <w:rFonts w:asciiTheme="minorHAnsi" w:hAnsiTheme="minorHAnsi" w:eastAsiaTheme="minorEastAsia" w:cstheme="minorBidi"/>
              <w:b w:val="0"/>
              <w:bCs w:val="0"/>
              <w:noProof/>
              <w:kern w:val="2"/>
              <w:lang w:val="es-CO" w:eastAsia="es-CO"/>
              <w14:ligatures w14:val="standardContextual"/>
            </w:rPr>
          </w:pPr>
          <w:hyperlink w:history="1" w:anchor="_Toc230792107">
            <w:r w:rsidRPr="00900969">
              <w:rPr>
                <w:rStyle w:val="Hyperlink"/>
                <w:noProof/>
              </w:rPr>
              <w:t>1.1 Aspectos técnicos</w:t>
            </w:r>
            <w:r>
              <w:rPr>
                <w:noProof/>
                <w:webHidden/>
              </w:rPr>
              <w:tab/>
            </w:r>
            <w:r>
              <w:rPr>
                <w:noProof/>
                <w:webHidden/>
              </w:rPr>
              <w:fldChar w:fldCharType="begin"/>
            </w:r>
            <w:r>
              <w:rPr>
                <w:noProof/>
                <w:webHidden/>
              </w:rPr>
              <w:instrText xml:space="preserve"> PAGEREF _Toc230792107 \h </w:instrText>
            </w:r>
            <w:r>
              <w:rPr>
                <w:noProof/>
                <w:webHidden/>
              </w:rPr>
            </w:r>
            <w:r>
              <w:rPr>
                <w:noProof/>
                <w:webHidden/>
              </w:rPr>
              <w:fldChar w:fldCharType="separate"/>
            </w:r>
            <w:r>
              <w:rPr>
                <w:noProof/>
                <w:webHidden/>
              </w:rPr>
              <w:t>4</w:t>
            </w:r>
            <w:r>
              <w:rPr>
                <w:noProof/>
                <w:webHidden/>
              </w:rPr>
              <w:fldChar w:fldCharType="end"/>
            </w:r>
          </w:hyperlink>
        </w:p>
        <w:p w:rsidR="00BE363D" w:rsidP="00D97D31" w:rsidRDefault="00BE363D" w14:paraId="09A7002F" w14:textId="161EBEA7">
          <w:pPr>
            <w:pStyle w:val="TOC2"/>
            <w:tabs>
              <w:tab w:val="right" w:leader="dot" w:pos="9394"/>
            </w:tabs>
            <w:spacing w:line="276" w:lineRule="auto"/>
            <w:rPr>
              <w:rFonts w:asciiTheme="minorHAnsi" w:hAnsiTheme="minorHAnsi" w:eastAsiaTheme="minorEastAsia" w:cstheme="minorBidi"/>
              <w:b w:val="0"/>
              <w:bCs w:val="0"/>
              <w:noProof/>
              <w:kern w:val="2"/>
              <w:lang w:val="es-CO" w:eastAsia="es-CO"/>
              <w14:ligatures w14:val="standardContextual"/>
            </w:rPr>
          </w:pPr>
          <w:hyperlink w:history="1" w:anchor="_Toc230792108">
            <w:r w:rsidRPr="00900969">
              <w:rPr>
                <w:rStyle w:val="Hyperlink"/>
                <w:noProof/>
              </w:rPr>
              <w:t>1.2 Aspectos legales</w:t>
            </w:r>
            <w:r>
              <w:rPr>
                <w:noProof/>
                <w:webHidden/>
              </w:rPr>
              <w:tab/>
            </w:r>
            <w:r>
              <w:rPr>
                <w:noProof/>
                <w:webHidden/>
              </w:rPr>
              <w:fldChar w:fldCharType="begin"/>
            </w:r>
            <w:r>
              <w:rPr>
                <w:noProof/>
                <w:webHidden/>
              </w:rPr>
              <w:instrText xml:space="preserve"> PAGEREF _Toc230792108 \h </w:instrText>
            </w:r>
            <w:r>
              <w:rPr>
                <w:noProof/>
                <w:webHidden/>
              </w:rPr>
            </w:r>
            <w:r>
              <w:rPr>
                <w:noProof/>
                <w:webHidden/>
              </w:rPr>
              <w:fldChar w:fldCharType="separate"/>
            </w:r>
            <w:r>
              <w:rPr>
                <w:noProof/>
                <w:webHidden/>
              </w:rPr>
              <w:t>7</w:t>
            </w:r>
            <w:r>
              <w:rPr>
                <w:noProof/>
                <w:webHidden/>
              </w:rPr>
              <w:fldChar w:fldCharType="end"/>
            </w:r>
          </w:hyperlink>
        </w:p>
        <w:p w:rsidR="00BE363D" w:rsidP="00D97D31" w:rsidRDefault="00BE363D" w14:paraId="66BEB40F" w14:textId="62DD87D8">
          <w:pPr>
            <w:pStyle w:val="TOC2"/>
            <w:tabs>
              <w:tab w:val="right" w:leader="dot" w:pos="9394"/>
            </w:tabs>
            <w:spacing w:line="276" w:lineRule="auto"/>
            <w:rPr>
              <w:rFonts w:asciiTheme="minorHAnsi" w:hAnsiTheme="minorHAnsi" w:eastAsiaTheme="minorEastAsia" w:cstheme="minorBidi"/>
              <w:b w:val="0"/>
              <w:bCs w:val="0"/>
              <w:noProof/>
              <w:kern w:val="2"/>
              <w:lang w:val="es-CO" w:eastAsia="es-CO"/>
              <w14:ligatures w14:val="standardContextual"/>
            </w:rPr>
          </w:pPr>
          <w:hyperlink w:history="1" w:anchor="_Toc230792109">
            <w:r w:rsidRPr="00900969">
              <w:rPr>
                <w:rStyle w:val="Hyperlink"/>
                <w:noProof/>
              </w:rPr>
              <w:t>1.3 Aspectos financieros</w:t>
            </w:r>
            <w:r>
              <w:rPr>
                <w:noProof/>
                <w:webHidden/>
              </w:rPr>
              <w:tab/>
            </w:r>
            <w:r>
              <w:rPr>
                <w:noProof/>
                <w:webHidden/>
              </w:rPr>
              <w:fldChar w:fldCharType="begin"/>
            </w:r>
            <w:r>
              <w:rPr>
                <w:noProof/>
                <w:webHidden/>
              </w:rPr>
              <w:instrText xml:space="preserve"> PAGEREF _Toc230792109 \h </w:instrText>
            </w:r>
            <w:r>
              <w:rPr>
                <w:noProof/>
                <w:webHidden/>
              </w:rPr>
            </w:r>
            <w:r>
              <w:rPr>
                <w:noProof/>
                <w:webHidden/>
              </w:rPr>
              <w:fldChar w:fldCharType="separate"/>
            </w:r>
            <w:r>
              <w:rPr>
                <w:noProof/>
                <w:webHidden/>
              </w:rPr>
              <w:t>8</w:t>
            </w:r>
            <w:r>
              <w:rPr>
                <w:noProof/>
                <w:webHidden/>
              </w:rPr>
              <w:fldChar w:fldCharType="end"/>
            </w:r>
          </w:hyperlink>
        </w:p>
        <w:p w:rsidR="00BE363D" w:rsidP="00D97D31" w:rsidRDefault="00BE363D" w14:paraId="3D0E8B00" w14:textId="1BA2E37F">
          <w:pPr>
            <w:pStyle w:val="TOC1"/>
            <w:tabs>
              <w:tab w:val="right" w:leader="dot" w:pos="9394"/>
            </w:tabs>
            <w:spacing w:line="276" w:lineRule="auto"/>
            <w:rPr>
              <w:rFonts w:asciiTheme="minorHAnsi" w:hAnsiTheme="minorHAnsi" w:eastAsiaTheme="minorEastAsia" w:cstheme="minorBidi"/>
              <w:b w:val="0"/>
              <w:bCs w:val="0"/>
              <w:noProof/>
              <w:kern w:val="2"/>
              <w:lang w:val="es-CO" w:eastAsia="es-CO"/>
              <w14:ligatures w14:val="standardContextual"/>
            </w:rPr>
          </w:pPr>
          <w:hyperlink w:history="1" w:anchor="_Toc230792110">
            <w:r w:rsidRPr="00900969">
              <w:rPr>
                <w:rStyle w:val="Hyperlink"/>
                <w:noProof/>
              </w:rPr>
              <w:t>2.</w:t>
            </w:r>
            <w:r>
              <w:rPr>
                <w:rFonts w:asciiTheme="minorHAnsi" w:hAnsiTheme="minorHAnsi" w:eastAsiaTheme="minorEastAsia" w:cstheme="minorBidi"/>
                <w:b w:val="0"/>
                <w:bCs w:val="0"/>
                <w:noProof/>
                <w:kern w:val="2"/>
                <w:lang w:val="es-CO" w:eastAsia="es-CO"/>
                <w14:ligatures w14:val="standardContextual"/>
              </w:rPr>
              <w:tab/>
            </w:r>
            <w:r w:rsidRPr="00900969">
              <w:rPr>
                <w:rStyle w:val="Hyperlink"/>
                <w:noProof/>
              </w:rPr>
              <w:t>PROYECTOS DE INVERSIÓN CONTRACREDITADOS:</w:t>
            </w:r>
            <w:r>
              <w:rPr>
                <w:noProof/>
                <w:webHidden/>
              </w:rPr>
              <w:tab/>
            </w:r>
            <w:r>
              <w:rPr>
                <w:noProof/>
                <w:webHidden/>
              </w:rPr>
              <w:fldChar w:fldCharType="begin"/>
            </w:r>
            <w:r>
              <w:rPr>
                <w:noProof/>
                <w:webHidden/>
              </w:rPr>
              <w:instrText xml:space="preserve"> PAGEREF _Toc230792110 \h </w:instrText>
            </w:r>
            <w:r>
              <w:rPr>
                <w:noProof/>
                <w:webHidden/>
              </w:rPr>
            </w:r>
            <w:r>
              <w:rPr>
                <w:noProof/>
                <w:webHidden/>
              </w:rPr>
              <w:fldChar w:fldCharType="separate"/>
            </w:r>
            <w:r>
              <w:rPr>
                <w:noProof/>
                <w:webHidden/>
              </w:rPr>
              <w:t>9</w:t>
            </w:r>
            <w:r>
              <w:rPr>
                <w:noProof/>
                <w:webHidden/>
              </w:rPr>
              <w:fldChar w:fldCharType="end"/>
            </w:r>
          </w:hyperlink>
        </w:p>
        <w:p w:rsidR="00BE363D" w:rsidP="00D97D31" w:rsidRDefault="00BE363D" w14:paraId="71F759E3" w14:textId="7E5B5205">
          <w:pPr>
            <w:pStyle w:val="TOC2"/>
            <w:tabs>
              <w:tab w:val="left" w:pos="960"/>
              <w:tab w:val="right" w:leader="dot" w:pos="9394"/>
            </w:tabs>
            <w:spacing w:line="276" w:lineRule="auto"/>
            <w:rPr>
              <w:rFonts w:asciiTheme="minorHAnsi" w:hAnsiTheme="minorHAnsi" w:eastAsiaTheme="minorEastAsia" w:cstheme="minorBidi"/>
              <w:b w:val="0"/>
              <w:bCs w:val="0"/>
              <w:noProof/>
              <w:kern w:val="2"/>
              <w:lang w:val="es-CO" w:eastAsia="es-CO"/>
              <w14:ligatures w14:val="standardContextual"/>
            </w:rPr>
          </w:pPr>
          <w:hyperlink w:history="1" w:anchor="_Toc230792111">
            <w:r w:rsidRPr="00900969">
              <w:rPr>
                <w:rStyle w:val="Hyperlink"/>
                <w:noProof/>
              </w:rPr>
              <w:t>2.1</w:t>
            </w:r>
            <w:r>
              <w:rPr>
                <w:rFonts w:asciiTheme="minorHAnsi" w:hAnsiTheme="minorHAnsi" w:eastAsiaTheme="minorEastAsia" w:cstheme="minorBidi"/>
                <w:b w:val="0"/>
                <w:bCs w:val="0"/>
                <w:noProof/>
                <w:kern w:val="2"/>
                <w:lang w:val="es-CO" w:eastAsia="es-CO"/>
                <w14:ligatures w14:val="standardContextual"/>
              </w:rPr>
              <w:tab/>
            </w:r>
            <w:r w:rsidRPr="00900969">
              <w:rPr>
                <w:rStyle w:val="Hyperlink"/>
                <w:noProof/>
              </w:rPr>
              <w:t>Ampliación de la cobertura del servicio de energía eléctrica en las Zonas No Interconectadas – ZNI en el territorio Nacional</w:t>
            </w:r>
            <w:r>
              <w:rPr>
                <w:noProof/>
                <w:webHidden/>
              </w:rPr>
              <w:tab/>
            </w:r>
            <w:r>
              <w:rPr>
                <w:noProof/>
                <w:webHidden/>
              </w:rPr>
              <w:fldChar w:fldCharType="begin"/>
            </w:r>
            <w:r>
              <w:rPr>
                <w:noProof/>
                <w:webHidden/>
              </w:rPr>
              <w:instrText xml:space="preserve"> PAGEREF _Toc230792111 \h </w:instrText>
            </w:r>
            <w:r>
              <w:rPr>
                <w:noProof/>
                <w:webHidden/>
              </w:rPr>
            </w:r>
            <w:r>
              <w:rPr>
                <w:noProof/>
                <w:webHidden/>
              </w:rPr>
              <w:fldChar w:fldCharType="separate"/>
            </w:r>
            <w:r>
              <w:rPr>
                <w:noProof/>
                <w:webHidden/>
              </w:rPr>
              <w:t>9</w:t>
            </w:r>
            <w:r>
              <w:rPr>
                <w:noProof/>
                <w:webHidden/>
              </w:rPr>
              <w:fldChar w:fldCharType="end"/>
            </w:r>
          </w:hyperlink>
        </w:p>
        <w:p w:rsidR="00BE363D" w:rsidP="00D97D31" w:rsidRDefault="00BE363D" w14:paraId="39403FF8" w14:textId="498A4AF9">
          <w:pPr>
            <w:pStyle w:val="TOC2"/>
            <w:tabs>
              <w:tab w:val="left" w:pos="960"/>
              <w:tab w:val="right" w:leader="dot" w:pos="9394"/>
            </w:tabs>
            <w:spacing w:line="276" w:lineRule="auto"/>
            <w:rPr>
              <w:rFonts w:asciiTheme="minorHAnsi" w:hAnsiTheme="minorHAnsi" w:eastAsiaTheme="minorEastAsia" w:cstheme="minorBidi"/>
              <w:b w:val="0"/>
              <w:bCs w:val="0"/>
              <w:noProof/>
              <w:kern w:val="2"/>
              <w:lang w:val="es-CO" w:eastAsia="es-CO"/>
              <w14:ligatures w14:val="standardContextual"/>
            </w:rPr>
          </w:pPr>
          <w:hyperlink w:history="1" w:anchor="_Toc230792112">
            <w:r w:rsidRPr="00900969">
              <w:rPr>
                <w:rStyle w:val="Hyperlink"/>
                <w:noProof/>
              </w:rPr>
              <w:t>2.2</w:t>
            </w:r>
            <w:r>
              <w:rPr>
                <w:rFonts w:asciiTheme="minorHAnsi" w:hAnsiTheme="minorHAnsi" w:eastAsiaTheme="minorEastAsia" w:cstheme="minorBidi"/>
                <w:b w:val="0"/>
                <w:bCs w:val="0"/>
                <w:noProof/>
                <w:kern w:val="2"/>
                <w:lang w:val="es-CO" w:eastAsia="es-CO"/>
                <w14:ligatures w14:val="standardContextual"/>
              </w:rPr>
              <w:tab/>
            </w:r>
            <w:r w:rsidRPr="00900969">
              <w:rPr>
                <w:rStyle w:val="Hyperlink"/>
                <w:noProof/>
              </w:rPr>
              <w:t>Mejoramiento del servicio de energía eléctrica en las zonas rurales del territorio nacional</w:t>
            </w:r>
            <w:r>
              <w:rPr>
                <w:noProof/>
                <w:webHidden/>
              </w:rPr>
              <w:tab/>
            </w:r>
            <w:r>
              <w:rPr>
                <w:noProof/>
                <w:webHidden/>
              </w:rPr>
              <w:fldChar w:fldCharType="begin"/>
            </w:r>
            <w:r>
              <w:rPr>
                <w:noProof/>
                <w:webHidden/>
              </w:rPr>
              <w:instrText xml:space="preserve"> PAGEREF _Toc230792112 \h </w:instrText>
            </w:r>
            <w:r>
              <w:rPr>
                <w:noProof/>
                <w:webHidden/>
              </w:rPr>
            </w:r>
            <w:r>
              <w:rPr>
                <w:noProof/>
                <w:webHidden/>
              </w:rPr>
              <w:fldChar w:fldCharType="separate"/>
            </w:r>
            <w:r>
              <w:rPr>
                <w:noProof/>
                <w:webHidden/>
              </w:rPr>
              <w:t>13</w:t>
            </w:r>
            <w:r>
              <w:rPr>
                <w:noProof/>
                <w:webHidden/>
              </w:rPr>
              <w:fldChar w:fldCharType="end"/>
            </w:r>
          </w:hyperlink>
        </w:p>
        <w:p w:rsidR="00BE363D" w:rsidP="00D97D31" w:rsidRDefault="00BE363D" w14:paraId="70E2D326" w14:textId="7BA6A710">
          <w:pPr>
            <w:pStyle w:val="TOC2"/>
            <w:tabs>
              <w:tab w:val="left" w:pos="960"/>
              <w:tab w:val="right" w:leader="dot" w:pos="9394"/>
            </w:tabs>
            <w:spacing w:line="276" w:lineRule="auto"/>
            <w:rPr>
              <w:rFonts w:asciiTheme="minorHAnsi" w:hAnsiTheme="minorHAnsi" w:eastAsiaTheme="minorEastAsia" w:cstheme="minorBidi"/>
              <w:b w:val="0"/>
              <w:bCs w:val="0"/>
              <w:noProof/>
              <w:kern w:val="2"/>
              <w:lang w:val="es-CO" w:eastAsia="es-CO"/>
              <w14:ligatures w14:val="standardContextual"/>
            </w:rPr>
          </w:pPr>
          <w:hyperlink w:history="1" w:anchor="_Toc230792113">
            <w:r w:rsidRPr="00900969">
              <w:rPr>
                <w:rStyle w:val="Hyperlink"/>
                <w:noProof/>
              </w:rPr>
              <w:t>2.3</w:t>
            </w:r>
            <w:r>
              <w:rPr>
                <w:rFonts w:asciiTheme="minorHAnsi" w:hAnsiTheme="minorHAnsi" w:eastAsiaTheme="minorEastAsia" w:cstheme="minorBidi"/>
                <w:b w:val="0"/>
                <w:bCs w:val="0"/>
                <w:noProof/>
                <w:kern w:val="2"/>
                <w:lang w:val="es-CO" w:eastAsia="es-CO"/>
                <w14:ligatures w14:val="standardContextual"/>
              </w:rPr>
              <w:tab/>
            </w:r>
            <w:r w:rsidRPr="00900969">
              <w:rPr>
                <w:rStyle w:val="Hyperlink"/>
                <w:noProof/>
              </w:rPr>
              <w:t>Mejoramiento de la calidad y confiabilidad del servicio de energía eléctrica en los barrios subnormales ubicados en los municipios del sistema interconectado a nivel nacional</w:t>
            </w:r>
            <w:r>
              <w:rPr>
                <w:noProof/>
                <w:webHidden/>
              </w:rPr>
              <w:tab/>
            </w:r>
            <w:r>
              <w:rPr>
                <w:noProof/>
                <w:webHidden/>
              </w:rPr>
              <w:fldChar w:fldCharType="begin"/>
            </w:r>
            <w:r>
              <w:rPr>
                <w:noProof/>
                <w:webHidden/>
              </w:rPr>
              <w:instrText xml:space="preserve"> PAGEREF _Toc230792113 \h </w:instrText>
            </w:r>
            <w:r>
              <w:rPr>
                <w:noProof/>
                <w:webHidden/>
              </w:rPr>
            </w:r>
            <w:r>
              <w:rPr>
                <w:noProof/>
                <w:webHidden/>
              </w:rPr>
              <w:fldChar w:fldCharType="separate"/>
            </w:r>
            <w:r>
              <w:rPr>
                <w:noProof/>
                <w:webHidden/>
              </w:rPr>
              <w:t>17</w:t>
            </w:r>
            <w:r>
              <w:rPr>
                <w:noProof/>
                <w:webHidden/>
              </w:rPr>
              <w:fldChar w:fldCharType="end"/>
            </w:r>
          </w:hyperlink>
        </w:p>
        <w:p w:rsidR="00BE363D" w:rsidP="00D97D31" w:rsidRDefault="00BE363D" w14:paraId="48CB52A3" w14:textId="6E10991A">
          <w:pPr>
            <w:pStyle w:val="TOC1"/>
            <w:tabs>
              <w:tab w:val="right" w:leader="dot" w:pos="9394"/>
            </w:tabs>
            <w:spacing w:line="276" w:lineRule="auto"/>
            <w:rPr>
              <w:rFonts w:asciiTheme="minorHAnsi" w:hAnsiTheme="minorHAnsi" w:eastAsiaTheme="minorEastAsia" w:cstheme="minorBidi"/>
              <w:b w:val="0"/>
              <w:bCs w:val="0"/>
              <w:noProof/>
              <w:kern w:val="2"/>
              <w:lang w:val="es-CO" w:eastAsia="es-CO"/>
              <w14:ligatures w14:val="standardContextual"/>
            </w:rPr>
          </w:pPr>
          <w:hyperlink w:history="1" w:anchor="_Toc230792114">
            <w:r w:rsidRPr="00900969">
              <w:rPr>
                <w:rStyle w:val="Hyperlink"/>
                <w:noProof/>
              </w:rPr>
              <w:t>3.</w:t>
            </w:r>
            <w:r>
              <w:rPr>
                <w:rFonts w:asciiTheme="minorHAnsi" w:hAnsiTheme="minorHAnsi" w:eastAsiaTheme="minorEastAsia" w:cstheme="minorBidi"/>
                <w:b w:val="0"/>
                <w:bCs w:val="0"/>
                <w:noProof/>
                <w:kern w:val="2"/>
                <w:lang w:val="es-CO" w:eastAsia="es-CO"/>
                <w14:ligatures w14:val="standardContextual"/>
              </w:rPr>
              <w:tab/>
            </w:r>
            <w:r w:rsidRPr="00900969">
              <w:rPr>
                <w:rStyle w:val="Hyperlink"/>
                <w:noProof/>
              </w:rPr>
              <w:t>PROYECTO DE INVERSIÓN ACREDITADO:</w:t>
            </w:r>
            <w:r>
              <w:rPr>
                <w:noProof/>
                <w:webHidden/>
              </w:rPr>
              <w:tab/>
            </w:r>
            <w:r>
              <w:rPr>
                <w:noProof/>
                <w:webHidden/>
              </w:rPr>
              <w:fldChar w:fldCharType="begin"/>
            </w:r>
            <w:r>
              <w:rPr>
                <w:noProof/>
                <w:webHidden/>
              </w:rPr>
              <w:instrText xml:space="preserve"> PAGEREF _Toc230792114 \h </w:instrText>
            </w:r>
            <w:r>
              <w:rPr>
                <w:noProof/>
                <w:webHidden/>
              </w:rPr>
            </w:r>
            <w:r>
              <w:rPr>
                <w:noProof/>
                <w:webHidden/>
              </w:rPr>
              <w:fldChar w:fldCharType="separate"/>
            </w:r>
            <w:r>
              <w:rPr>
                <w:noProof/>
                <w:webHidden/>
              </w:rPr>
              <w:t>20</w:t>
            </w:r>
            <w:r>
              <w:rPr>
                <w:noProof/>
                <w:webHidden/>
              </w:rPr>
              <w:fldChar w:fldCharType="end"/>
            </w:r>
          </w:hyperlink>
        </w:p>
        <w:p w:rsidR="00BE363D" w:rsidP="00D97D31" w:rsidRDefault="00BE363D" w14:paraId="3B2E1E8B" w14:textId="41B4CD1F">
          <w:pPr>
            <w:pStyle w:val="TOC2"/>
            <w:tabs>
              <w:tab w:val="left" w:pos="960"/>
              <w:tab w:val="right" w:leader="dot" w:pos="9394"/>
            </w:tabs>
            <w:spacing w:line="276" w:lineRule="auto"/>
            <w:rPr>
              <w:rFonts w:asciiTheme="minorHAnsi" w:hAnsiTheme="minorHAnsi" w:eastAsiaTheme="minorEastAsia" w:cstheme="minorBidi"/>
              <w:b w:val="0"/>
              <w:bCs w:val="0"/>
              <w:noProof/>
              <w:kern w:val="2"/>
              <w:lang w:val="es-CO" w:eastAsia="es-CO"/>
              <w14:ligatures w14:val="standardContextual"/>
            </w:rPr>
          </w:pPr>
          <w:hyperlink w:history="1" w:anchor="_Toc230792115">
            <w:r w:rsidRPr="00900969">
              <w:rPr>
                <w:rStyle w:val="Hyperlink"/>
                <w:noProof/>
              </w:rPr>
              <w:t>3.1</w:t>
            </w:r>
            <w:r>
              <w:rPr>
                <w:rFonts w:asciiTheme="minorHAnsi" w:hAnsiTheme="minorHAnsi" w:eastAsiaTheme="minorEastAsia" w:cstheme="minorBidi"/>
                <w:b w:val="0"/>
                <w:bCs w:val="0"/>
                <w:noProof/>
                <w:kern w:val="2"/>
                <w:lang w:val="es-CO" w:eastAsia="es-CO"/>
                <w14:ligatures w14:val="standardContextual"/>
              </w:rPr>
              <w:tab/>
            </w:r>
            <w:r w:rsidRPr="00900969">
              <w:rPr>
                <w:rStyle w:val="Hyperlink"/>
                <w:noProof/>
              </w:rPr>
              <w:t>Ampliación de la cobertura y normalización de redes en la prestación del servicio de energía eléctrica en el territorio nacional</w:t>
            </w:r>
            <w:r>
              <w:rPr>
                <w:noProof/>
                <w:webHidden/>
              </w:rPr>
              <w:tab/>
            </w:r>
            <w:r>
              <w:rPr>
                <w:noProof/>
                <w:webHidden/>
              </w:rPr>
              <w:fldChar w:fldCharType="begin"/>
            </w:r>
            <w:r>
              <w:rPr>
                <w:noProof/>
                <w:webHidden/>
              </w:rPr>
              <w:instrText xml:space="preserve"> PAGEREF _Toc230792115 \h </w:instrText>
            </w:r>
            <w:r>
              <w:rPr>
                <w:noProof/>
                <w:webHidden/>
              </w:rPr>
            </w:r>
            <w:r>
              <w:rPr>
                <w:noProof/>
                <w:webHidden/>
              </w:rPr>
              <w:fldChar w:fldCharType="separate"/>
            </w:r>
            <w:r>
              <w:rPr>
                <w:noProof/>
                <w:webHidden/>
              </w:rPr>
              <w:t>20</w:t>
            </w:r>
            <w:r>
              <w:rPr>
                <w:noProof/>
                <w:webHidden/>
              </w:rPr>
              <w:fldChar w:fldCharType="end"/>
            </w:r>
          </w:hyperlink>
        </w:p>
        <w:p w:rsidR="00BE363D" w:rsidP="00D97D31" w:rsidRDefault="00BE363D" w14:paraId="7356807A" w14:textId="10E6D45A">
          <w:pPr>
            <w:pStyle w:val="TOC1"/>
            <w:tabs>
              <w:tab w:val="right" w:leader="dot" w:pos="9394"/>
            </w:tabs>
            <w:spacing w:line="276" w:lineRule="auto"/>
            <w:rPr>
              <w:rFonts w:asciiTheme="minorHAnsi" w:hAnsiTheme="minorHAnsi" w:eastAsiaTheme="minorEastAsia" w:cstheme="minorBidi"/>
              <w:b w:val="0"/>
              <w:bCs w:val="0"/>
              <w:noProof/>
              <w:kern w:val="2"/>
              <w:lang w:val="es-CO" w:eastAsia="es-CO"/>
              <w14:ligatures w14:val="standardContextual"/>
            </w:rPr>
          </w:pPr>
          <w:hyperlink w:history="1" w:anchor="_Toc230792116">
            <w:r w:rsidRPr="00900969">
              <w:rPr>
                <w:rStyle w:val="Hyperlink"/>
                <w:noProof/>
              </w:rPr>
              <w:t>4.</w:t>
            </w:r>
            <w:r>
              <w:rPr>
                <w:rFonts w:asciiTheme="minorHAnsi" w:hAnsiTheme="minorHAnsi" w:eastAsiaTheme="minorEastAsia" w:cstheme="minorBidi"/>
                <w:b w:val="0"/>
                <w:bCs w:val="0"/>
                <w:noProof/>
                <w:kern w:val="2"/>
                <w:lang w:val="es-CO" w:eastAsia="es-CO"/>
                <w14:ligatures w14:val="standardContextual"/>
              </w:rPr>
              <w:tab/>
            </w:r>
            <w:r w:rsidRPr="00900969">
              <w:rPr>
                <w:rStyle w:val="Hyperlink"/>
                <w:noProof/>
              </w:rPr>
              <w:t>SOLICITUD DEL TRASLADO PRESUPUESTAL</w:t>
            </w:r>
            <w:r>
              <w:rPr>
                <w:noProof/>
                <w:webHidden/>
              </w:rPr>
              <w:tab/>
            </w:r>
            <w:r>
              <w:rPr>
                <w:noProof/>
                <w:webHidden/>
              </w:rPr>
              <w:fldChar w:fldCharType="begin"/>
            </w:r>
            <w:r>
              <w:rPr>
                <w:noProof/>
                <w:webHidden/>
              </w:rPr>
              <w:instrText xml:space="preserve"> PAGEREF _Toc230792116 \h </w:instrText>
            </w:r>
            <w:r>
              <w:rPr>
                <w:noProof/>
                <w:webHidden/>
              </w:rPr>
            </w:r>
            <w:r>
              <w:rPr>
                <w:noProof/>
                <w:webHidden/>
              </w:rPr>
              <w:fldChar w:fldCharType="separate"/>
            </w:r>
            <w:r>
              <w:rPr>
                <w:noProof/>
                <w:webHidden/>
              </w:rPr>
              <w:t>24</w:t>
            </w:r>
            <w:r>
              <w:rPr>
                <w:noProof/>
                <w:webHidden/>
              </w:rPr>
              <w:fldChar w:fldCharType="end"/>
            </w:r>
          </w:hyperlink>
        </w:p>
        <w:p w:rsidR="00BE363D" w:rsidP="00D97D31" w:rsidRDefault="00BE363D" w14:paraId="588BBB2F" w14:textId="310A3E15">
          <w:pPr>
            <w:pStyle w:val="TOC2"/>
            <w:tabs>
              <w:tab w:val="right" w:leader="dot" w:pos="9394"/>
            </w:tabs>
            <w:spacing w:line="276" w:lineRule="auto"/>
            <w:rPr>
              <w:rFonts w:asciiTheme="minorHAnsi" w:hAnsiTheme="minorHAnsi" w:eastAsiaTheme="minorEastAsia" w:cstheme="minorBidi"/>
              <w:b w:val="0"/>
              <w:bCs w:val="0"/>
              <w:noProof/>
              <w:kern w:val="2"/>
              <w:lang w:val="es-CO" w:eastAsia="es-CO"/>
              <w14:ligatures w14:val="standardContextual"/>
            </w:rPr>
          </w:pPr>
          <w:hyperlink w:history="1" w:anchor="_Toc230792117">
            <w:r w:rsidRPr="00900969">
              <w:rPr>
                <w:rStyle w:val="Hyperlink"/>
                <w:noProof/>
              </w:rPr>
              <w:t>4.1 Antecedentes y propósito de la justificación</w:t>
            </w:r>
            <w:r>
              <w:rPr>
                <w:noProof/>
                <w:webHidden/>
              </w:rPr>
              <w:tab/>
            </w:r>
            <w:r>
              <w:rPr>
                <w:noProof/>
                <w:webHidden/>
              </w:rPr>
              <w:fldChar w:fldCharType="begin"/>
            </w:r>
            <w:r>
              <w:rPr>
                <w:noProof/>
                <w:webHidden/>
              </w:rPr>
              <w:instrText xml:space="preserve"> PAGEREF _Toc230792117 \h </w:instrText>
            </w:r>
            <w:r>
              <w:rPr>
                <w:noProof/>
                <w:webHidden/>
              </w:rPr>
            </w:r>
            <w:r>
              <w:rPr>
                <w:noProof/>
                <w:webHidden/>
              </w:rPr>
              <w:fldChar w:fldCharType="separate"/>
            </w:r>
            <w:r>
              <w:rPr>
                <w:noProof/>
                <w:webHidden/>
              </w:rPr>
              <w:t>25</w:t>
            </w:r>
            <w:r>
              <w:rPr>
                <w:noProof/>
                <w:webHidden/>
              </w:rPr>
              <w:fldChar w:fldCharType="end"/>
            </w:r>
          </w:hyperlink>
        </w:p>
        <w:p w:rsidR="00BE363D" w:rsidP="00D97D31" w:rsidRDefault="00BE363D" w14:paraId="0398E573" w14:textId="2079EDB7">
          <w:pPr>
            <w:pStyle w:val="TOC2"/>
            <w:tabs>
              <w:tab w:val="right" w:leader="dot" w:pos="9394"/>
            </w:tabs>
            <w:spacing w:line="276" w:lineRule="auto"/>
            <w:rPr>
              <w:rFonts w:asciiTheme="minorHAnsi" w:hAnsiTheme="minorHAnsi" w:eastAsiaTheme="minorEastAsia" w:cstheme="minorBidi"/>
              <w:b w:val="0"/>
              <w:bCs w:val="0"/>
              <w:noProof/>
              <w:kern w:val="2"/>
              <w:lang w:val="es-CO" w:eastAsia="es-CO"/>
              <w14:ligatures w14:val="standardContextual"/>
            </w:rPr>
          </w:pPr>
          <w:hyperlink w:history="1" w:anchor="_Toc230792118">
            <w:r w:rsidRPr="00900969">
              <w:rPr>
                <w:rStyle w:val="Hyperlink"/>
                <w:noProof/>
              </w:rPr>
              <w:t>4.2 Marco normativo que soporta el traslado</w:t>
            </w:r>
            <w:r>
              <w:rPr>
                <w:noProof/>
                <w:webHidden/>
              </w:rPr>
              <w:tab/>
            </w:r>
            <w:r>
              <w:rPr>
                <w:noProof/>
                <w:webHidden/>
              </w:rPr>
              <w:fldChar w:fldCharType="begin"/>
            </w:r>
            <w:r>
              <w:rPr>
                <w:noProof/>
                <w:webHidden/>
              </w:rPr>
              <w:instrText xml:space="preserve"> PAGEREF _Toc230792118 \h </w:instrText>
            </w:r>
            <w:r>
              <w:rPr>
                <w:noProof/>
                <w:webHidden/>
              </w:rPr>
            </w:r>
            <w:r>
              <w:rPr>
                <w:noProof/>
                <w:webHidden/>
              </w:rPr>
              <w:fldChar w:fldCharType="separate"/>
            </w:r>
            <w:r>
              <w:rPr>
                <w:noProof/>
                <w:webHidden/>
              </w:rPr>
              <w:t>25</w:t>
            </w:r>
            <w:r>
              <w:rPr>
                <w:noProof/>
                <w:webHidden/>
              </w:rPr>
              <w:fldChar w:fldCharType="end"/>
            </w:r>
          </w:hyperlink>
        </w:p>
        <w:p w:rsidR="00BE363D" w:rsidP="00D97D31" w:rsidRDefault="00BE363D" w14:paraId="1BA72B6C" w14:textId="44635D0E">
          <w:pPr>
            <w:pStyle w:val="TOC2"/>
            <w:tabs>
              <w:tab w:val="right" w:leader="dot" w:pos="9394"/>
            </w:tabs>
            <w:spacing w:line="276" w:lineRule="auto"/>
            <w:rPr>
              <w:rFonts w:asciiTheme="minorHAnsi" w:hAnsiTheme="minorHAnsi" w:eastAsiaTheme="minorEastAsia" w:cstheme="minorBidi"/>
              <w:b w:val="0"/>
              <w:bCs w:val="0"/>
              <w:noProof/>
              <w:kern w:val="2"/>
              <w:lang w:val="es-CO" w:eastAsia="es-CO"/>
              <w14:ligatures w14:val="standardContextual"/>
            </w:rPr>
          </w:pPr>
          <w:hyperlink w:history="1" w:anchor="_Toc230792119">
            <w:r w:rsidRPr="00900969">
              <w:rPr>
                <w:rStyle w:val="Hyperlink"/>
                <w:noProof/>
              </w:rPr>
              <w:t>4.3 Diagnóstico técnico y presupuestal</w:t>
            </w:r>
            <w:r>
              <w:rPr>
                <w:noProof/>
                <w:webHidden/>
              </w:rPr>
              <w:tab/>
            </w:r>
            <w:r>
              <w:rPr>
                <w:noProof/>
                <w:webHidden/>
              </w:rPr>
              <w:fldChar w:fldCharType="begin"/>
            </w:r>
            <w:r>
              <w:rPr>
                <w:noProof/>
                <w:webHidden/>
              </w:rPr>
              <w:instrText xml:space="preserve"> PAGEREF _Toc230792119 \h </w:instrText>
            </w:r>
            <w:r>
              <w:rPr>
                <w:noProof/>
                <w:webHidden/>
              </w:rPr>
            </w:r>
            <w:r>
              <w:rPr>
                <w:noProof/>
                <w:webHidden/>
              </w:rPr>
              <w:fldChar w:fldCharType="separate"/>
            </w:r>
            <w:r>
              <w:rPr>
                <w:noProof/>
                <w:webHidden/>
              </w:rPr>
              <w:t>26</w:t>
            </w:r>
            <w:r>
              <w:rPr>
                <w:noProof/>
                <w:webHidden/>
              </w:rPr>
              <w:fldChar w:fldCharType="end"/>
            </w:r>
          </w:hyperlink>
        </w:p>
        <w:p w:rsidR="00BE363D" w:rsidP="00D97D31" w:rsidRDefault="00BE363D" w14:paraId="77397C03" w14:textId="181A9188">
          <w:pPr>
            <w:pStyle w:val="TOC2"/>
            <w:tabs>
              <w:tab w:val="right" w:leader="dot" w:pos="9394"/>
            </w:tabs>
            <w:spacing w:line="276" w:lineRule="auto"/>
            <w:rPr>
              <w:rFonts w:asciiTheme="minorHAnsi" w:hAnsiTheme="minorHAnsi" w:eastAsiaTheme="minorEastAsia" w:cstheme="minorBidi"/>
              <w:b w:val="0"/>
              <w:bCs w:val="0"/>
              <w:noProof/>
              <w:kern w:val="2"/>
              <w:lang w:val="es-CO" w:eastAsia="es-CO"/>
              <w14:ligatures w14:val="standardContextual"/>
            </w:rPr>
          </w:pPr>
          <w:hyperlink w:history="1" w:anchor="_Toc230792120">
            <w:r w:rsidRPr="00900969">
              <w:rPr>
                <w:rStyle w:val="Hyperlink"/>
                <w:noProof/>
              </w:rPr>
              <w:t>4.4 Justificación de la necesidad del traslado</w:t>
            </w:r>
            <w:r>
              <w:rPr>
                <w:noProof/>
                <w:webHidden/>
              </w:rPr>
              <w:tab/>
            </w:r>
            <w:r>
              <w:rPr>
                <w:noProof/>
                <w:webHidden/>
              </w:rPr>
              <w:fldChar w:fldCharType="begin"/>
            </w:r>
            <w:r>
              <w:rPr>
                <w:noProof/>
                <w:webHidden/>
              </w:rPr>
              <w:instrText xml:space="preserve"> PAGEREF _Toc230792120 \h </w:instrText>
            </w:r>
            <w:r>
              <w:rPr>
                <w:noProof/>
                <w:webHidden/>
              </w:rPr>
            </w:r>
            <w:r>
              <w:rPr>
                <w:noProof/>
                <w:webHidden/>
              </w:rPr>
              <w:fldChar w:fldCharType="separate"/>
            </w:r>
            <w:r>
              <w:rPr>
                <w:noProof/>
                <w:webHidden/>
              </w:rPr>
              <w:t>27</w:t>
            </w:r>
            <w:r>
              <w:rPr>
                <w:noProof/>
                <w:webHidden/>
              </w:rPr>
              <w:fldChar w:fldCharType="end"/>
            </w:r>
          </w:hyperlink>
        </w:p>
        <w:p w:rsidR="00BE363D" w:rsidP="00D97D31" w:rsidRDefault="00BE363D" w14:paraId="73577E9D" w14:textId="173C367A">
          <w:pPr>
            <w:pStyle w:val="TOC1"/>
            <w:tabs>
              <w:tab w:val="right" w:leader="dot" w:pos="9394"/>
            </w:tabs>
            <w:spacing w:line="276" w:lineRule="auto"/>
            <w:rPr>
              <w:rFonts w:asciiTheme="minorHAnsi" w:hAnsiTheme="minorHAnsi" w:eastAsiaTheme="minorEastAsia" w:cstheme="minorBidi"/>
              <w:b w:val="0"/>
              <w:bCs w:val="0"/>
              <w:noProof/>
              <w:kern w:val="2"/>
              <w:lang w:val="es-CO" w:eastAsia="es-CO"/>
              <w14:ligatures w14:val="standardContextual"/>
            </w:rPr>
          </w:pPr>
          <w:hyperlink w:history="1" w:anchor="_Toc230792121">
            <w:r w:rsidRPr="00900969">
              <w:rPr>
                <w:rStyle w:val="Hyperlink"/>
                <w:noProof/>
              </w:rPr>
              <w:t>5.</w:t>
            </w:r>
            <w:r>
              <w:rPr>
                <w:rFonts w:asciiTheme="minorHAnsi" w:hAnsiTheme="minorHAnsi" w:eastAsiaTheme="minorEastAsia" w:cstheme="minorBidi"/>
                <w:b w:val="0"/>
                <w:bCs w:val="0"/>
                <w:noProof/>
                <w:kern w:val="2"/>
                <w:lang w:val="es-CO" w:eastAsia="es-CO"/>
                <w14:ligatures w14:val="standardContextual"/>
              </w:rPr>
              <w:tab/>
            </w:r>
            <w:r w:rsidRPr="00900969">
              <w:rPr>
                <w:rStyle w:val="Hyperlink"/>
                <w:noProof/>
              </w:rPr>
              <w:t>AFECTACIÓN DE METAS DEL PROYECTO</w:t>
            </w:r>
            <w:r>
              <w:rPr>
                <w:noProof/>
                <w:webHidden/>
              </w:rPr>
              <w:tab/>
            </w:r>
            <w:r>
              <w:rPr>
                <w:noProof/>
                <w:webHidden/>
              </w:rPr>
              <w:fldChar w:fldCharType="begin"/>
            </w:r>
            <w:r>
              <w:rPr>
                <w:noProof/>
                <w:webHidden/>
              </w:rPr>
              <w:instrText xml:space="preserve"> PAGEREF _Toc230792121 \h </w:instrText>
            </w:r>
            <w:r>
              <w:rPr>
                <w:noProof/>
                <w:webHidden/>
              </w:rPr>
            </w:r>
            <w:r>
              <w:rPr>
                <w:noProof/>
                <w:webHidden/>
              </w:rPr>
              <w:fldChar w:fldCharType="separate"/>
            </w:r>
            <w:r>
              <w:rPr>
                <w:noProof/>
                <w:webHidden/>
              </w:rPr>
              <w:t>28</w:t>
            </w:r>
            <w:r>
              <w:rPr>
                <w:noProof/>
                <w:webHidden/>
              </w:rPr>
              <w:fldChar w:fldCharType="end"/>
            </w:r>
          </w:hyperlink>
        </w:p>
        <w:p w:rsidR="00BE363D" w:rsidP="00D97D31" w:rsidRDefault="00BE363D" w14:paraId="7EA1533A" w14:textId="0B1515CF">
          <w:pPr>
            <w:pStyle w:val="TOC1"/>
            <w:tabs>
              <w:tab w:val="right" w:leader="dot" w:pos="9394"/>
            </w:tabs>
            <w:spacing w:line="276" w:lineRule="auto"/>
            <w:rPr>
              <w:rFonts w:asciiTheme="minorHAnsi" w:hAnsiTheme="minorHAnsi" w:eastAsiaTheme="minorEastAsia" w:cstheme="minorBidi"/>
              <w:b w:val="0"/>
              <w:bCs w:val="0"/>
              <w:noProof/>
              <w:kern w:val="2"/>
              <w:lang w:val="es-CO" w:eastAsia="es-CO"/>
              <w14:ligatures w14:val="standardContextual"/>
            </w:rPr>
          </w:pPr>
          <w:hyperlink w:history="1" w:anchor="_Toc230792122">
            <w:r w:rsidRPr="00900969">
              <w:rPr>
                <w:rStyle w:val="Hyperlink"/>
                <w:noProof/>
              </w:rPr>
              <w:t>6.</w:t>
            </w:r>
            <w:r>
              <w:rPr>
                <w:rFonts w:asciiTheme="minorHAnsi" w:hAnsiTheme="minorHAnsi" w:eastAsiaTheme="minorEastAsia" w:cstheme="minorBidi"/>
                <w:b w:val="0"/>
                <w:bCs w:val="0"/>
                <w:noProof/>
                <w:kern w:val="2"/>
                <w:lang w:val="es-CO" w:eastAsia="es-CO"/>
                <w14:ligatures w14:val="standardContextual"/>
              </w:rPr>
              <w:tab/>
            </w:r>
            <w:r w:rsidRPr="00900969">
              <w:rPr>
                <w:rStyle w:val="Hyperlink"/>
                <w:noProof/>
              </w:rPr>
              <w:t>RECOMENDACIÓN</w:t>
            </w:r>
            <w:r>
              <w:rPr>
                <w:noProof/>
                <w:webHidden/>
              </w:rPr>
              <w:tab/>
            </w:r>
            <w:r>
              <w:rPr>
                <w:noProof/>
                <w:webHidden/>
              </w:rPr>
              <w:fldChar w:fldCharType="begin"/>
            </w:r>
            <w:r>
              <w:rPr>
                <w:noProof/>
                <w:webHidden/>
              </w:rPr>
              <w:instrText xml:space="preserve"> PAGEREF _Toc230792122 \h </w:instrText>
            </w:r>
            <w:r>
              <w:rPr>
                <w:noProof/>
                <w:webHidden/>
              </w:rPr>
            </w:r>
            <w:r>
              <w:rPr>
                <w:noProof/>
                <w:webHidden/>
              </w:rPr>
              <w:fldChar w:fldCharType="separate"/>
            </w:r>
            <w:r>
              <w:rPr>
                <w:noProof/>
                <w:webHidden/>
              </w:rPr>
              <w:t>29</w:t>
            </w:r>
            <w:r>
              <w:rPr>
                <w:noProof/>
                <w:webHidden/>
              </w:rPr>
              <w:fldChar w:fldCharType="end"/>
            </w:r>
          </w:hyperlink>
        </w:p>
        <w:p w:rsidR="00BE363D" w:rsidP="00D97D31" w:rsidRDefault="00BE363D" w14:paraId="0E02E490" w14:textId="6963B11E">
          <w:pPr>
            <w:pStyle w:val="TOC1"/>
            <w:tabs>
              <w:tab w:val="right" w:leader="dot" w:pos="9394"/>
            </w:tabs>
            <w:spacing w:line="276" w:lineRule="auto"/>
            <w:rPr>
              <w:rFonts w:asciiTheme="minorHAnsi" w:hAnsiTheme="minorHAnsi" w:eastAsiaTheme="minorEastAsia" w:cstheme="minorBidi"/>
              <w:b w:val="0"/>
              <w:bCs w:val="0"/>
              <w:noProof/>
              <w:kern w:val="2"/>
              <w:lang w:val="es-CO" w:eastAsia="es-CO"/>
              <w14:ligatures w14:val="standardContextual"/>
            </w:rPr>
          </w:pPr>
          <w:hyperlink w:history="1" w:anchor="_Toc230792123">
            <w:r w:rsidRPr="00900969">
              <w:rPr>
                <w:rStyle w:val="Hyperlink"/>
                <w:noProof/>
              </w:rPr>
              <w:t>7.</w:t>
            </w:r>
            <w:r>
              <w:rPr>
                <w:rFonts w:asciiTheme="minorHAnsi" w:hAnsiTheme="minorHAnsi" w:eastAsiaTheme="minorEastAsia" w:cstheme="minorBidi"/>
                <w:b w:val="0"/>
                <w:bCs w:val="0"/>
                <w:noProof/>
                <w:kern w:val="2"/>
                <w:lang w:val="es-CO" w:eastAsia="es-CO"/>
                <w14:ligatures w14:val="standardContextual"/>
              </w:rPr>
              <w:tab/>
            </w:r>
            <w:r w:rsidRPr="00900969">
              <w:rPr>
                <w:rStyle w:val="Hyperlink"/>
                <w:noProof/>
              </w:rPr>
              <w:t>REFERENCIAS NORMATIVAS</w:t>
            </w:r>
            <w:r>
              <w:rPr>
                <w:noProof/>
                <w:webHidden/>
              </w:rPr>
              <w:tab/>
            </w:r>
            <w:r>
              <w:rPr>
                <w:noProof/>
                <w:webHidden/>
              </w:rPr>
              <w:fldChar w:fldCharType="begin"/>
            </w:r>
            <w:r>
              <w:rPr>
                <w:noProof/>
                <w:webHidden/>
              </w:rPr>
              <w:instrText xml:space="preserve"> PAGEREF _Toc230792123 \h </w:instrText>
            </w:r>
            <w:r>
              <w:rPr>
                <w:noProof/>
                <w:webHidden/>
              </w:rPr>
            </w:r>
            <w:r>
              <w:rPr>
                <w:noProof/>
                <w:webHidden/>
              </w:rPr>
              <w:fldChar w:fldCharType="separate"/>
            </w:r>
            <w:r>
              <w:rPr>
                <w:noProof/>
                <w:webHidden/>
              </w:rPr>
              <w:t>30</w:t>
            </w:r>
            <w:r>
              <w:rPr>
                <w:noProof/>
                <w:webHidden/>
              </w:rPr>
              <w:fldChar w:fldCharType="end"/>
            </w:r>
          </w:hyperlink>
        </w:p>
        <w:p w:rsidR="00BE363D" w:rsidP="00D97D31" w:rsidRDefault="00BE363D" w14:paraId="200731F8" w14:textId="6DDA79EA">
          <w:pPr>
            <w:pStyle w:val="TOC1"/>
            <w:tabs>
              <w:tab w:val="right" w:leader="dot" w:pos="9394"/>
            </w:tabs>
            <w:spacing w:line="276" w:lineRule="auto"/>
            <w:rPr>
              <w:rFonts w:asciiTheme="minorHAnsi" w:hAnsiTheme="minorHAnsi" w:eastAsiaTheme="minorEastAsia" w:cstheme="minorBidi"/>
              <w:b w:val="0"/>
              <w:bCs w:val="0"/>
              <w:noProof/>
              <w:kern w:val="2"/>
              <w:lang w:val="es-CO" w:eastAsia="es-CO"/>
              <w14:ligatures w14:val="standardContextual"/>
            </w:rPr>
          </w:pPr>
          <w:hyperlink w:history="1" w:anchor="_Toc230792124">
            <w:r w:rsidRPr="00900969">
              <w:rPr>
                <w:rStyle w:val="Hyperlink"/>
                <w:noProof/>
              </w:rPr>
              <w:t>8.</w:t>
            </w:r>
            <w:r>
              <w:rPr>
                <w:rFonts w:asciiTheme="minorHAnsi" w:hAnsiTheme="minorHAnsi" w:eastAsiaTheme="minorEastAsia" w:cstheme="minorBidi"/>
                <w:b w:val="0"/>
                <w:bCs w:val="0"/>
                <w:noProof/>
                <w:kern w:val="2"/>
                <w:lang w:val="es-CO" w:eastAsia="es-CO"/>
                <w14:ligatures w14:val="standardContextual"/>
              </w:rPr>
              <w:tab/>
            </w:r>
            <w:r w:rsidRPr="00900969">
              <w:rPr>
                <w:rStyle w:val="Hyperlink"/>
                <w:noProof/>
              </w:rPr>
              <w:t>ANEXOS</w:t>
            </w:r>
            <w:r>
              <w:rPr>
                <w:noProof/>
                <w:webHidden/>
              </w:rPr>
              <w:tab/>
            </w:r>
            <w:r>
              <w:rPr>
                <w:noProof/>
                <w:webHidden/>
              </w:rPr>
              <w:fldChar w:fldCharType="begin"/>
            </w:r>
            <w:r>
              <w:rPr>
                <w:noProof/>
                <w:webHidden/>
              </w:rPr>
              <w:instrText xml:space="preserve"> PAGEREF _Toc230792124 \h </w:instrText>
            </w:r>
            <w:r>
              <w:rPr>
                <w:noProof/>
                <w:webHidden/>
              </w:rPr>
            </w:r>
            <w:r>
              <w:rPr>
                <w:noProof/>
                <w:webHidden/>
              </w:rPr>
              <w:fldChar w:fldCharType="separate"/>
            </w:r>
            <w:r>
              <w:rPr>
                <w:noProof/>
                <w:webHidden/>
              </w:rPr>
              <w:t>30</w:t>
            </w:r>
            <w:r>
              <w:rPr>
                <w:noProof/>
                <w:webHidden/>
              </w:rPr>
              <w:fldChar w:fldCharType="end"/>
            </w:r>
          </w:hyperlink>
        </w:p>
        <w:p w:rsidRPr="00D22C82" w:rsidR="00856AE3" w:rsidP="00D97D31" w:rsidRDefault="00856AE3" w14:paraId="52E4221E" w14:textId="4F14BFC6">
          <w:r w:rsidRPr="00D22C82">
            <w:rPr>
              <w:b/>
              <w:bCs/>
            </w:rPr>
            <w:fldChar w:fldCharType="end"/>
          </w:r>
        </w:p>
      </w:sdtContent>
      <w:sdtEndPr>
        <w:rPr>
          <w:rFonts w:ascii="Calibri" w:hAnsi="Calibri" w:eastAsia="" w:cs="" w:asciiTheme="minorAscii" w:hAnsiTheme="minorAscii" w:eastAsiaTheme="minorEastAsia" w:cstheme="minorBidi"/>
          <w:b w:val="0"/>
          <w:bCs w:val="0"/>
          <w:sz w:val="22"/>
          <w:szCs w:val="22"/>
          <w:lang w:val="es-CO"/>
        </w:rPr>
      </w:sdtEndPr>
    </w:sdt>
    <w:p w:rsidR="00FB66CD" w:rsidP="00D97D31" w:rsidRDefault="00FB66CD" w14:paraId="63561B5E" w14:textId="0B608758">
      <w:pPr>
        <w:spacing w:after="0"/>
        <w:rPr>
          <w:rFonts w:ascii="Calibri" w:hAnsi="Calibri" w:cs="Calibri"/>
          <w:b/>
          <w:bCs/>
        </w:rPr>
      </w:pPr>
      <w:r>
        <w:rPr>
          <w:rFonts w:ascii="Calibri" w:hAnsi="Calibri" w:cs="Calibri"/>
          <w:b/>
          <w:bCs/>
        </w:rPr>
        <w:br w:type="page"/>
      </w:r>
    </w:p>
    <w:p w:rsidRPr="0089704E" w:rsidR="00B94457" w:rsidP="00D97D31" w:rsidRDefault="00856AE3" w14:paraId="1314CA79" w14:textId="468B7F00">
      <w:pPr>
        <w:pStyle w:val="Ttulo1"/>
        <w:rPr>
          <w:bCs/>
        </w:rPr>
      </w:pPr>
      <w:r w:rsidRPr="0089704E">
        <w:rPr>
          <w:bCs/>
        </w:rPr>
        <w:t>SOLICITUD TRASLADO PRESUPUESTAL ORDINARIO</w:t>
      </w:r>
    </w:p>
    <w:p w:rsidRPr="00D22C82" w:rsidR="00CA5028" w:rsidP="00D97D31" w:rsidRDefault="00CA5028" w14:paraId="201E220C" w14:textId="77777777"/>
    <w:p w:rsidRPr="0089704E" w:rsidR="00632B36" w:rsidP="7E8808B0" w:rsidRDefault="00CA5028" w14:paraId="097D7B86" w14:textId="0803BD05">
      <w:pPr>
        <w:pStyle w:val="Heading1"/>
        <w:spacing w:before="0"/>
        <w:ind w:left="426"/>
        <w:jc w:val="both"/>
        <w:rPr>
          <w:rFonts w:ascii="Calibri" w:hAnsi="Calibri" w:cs="Calibri"/>
          <w:color w:val="auto"/>
          <w:szCs w:val="22"/>
        </w:rPr>
      </w:pPr>
      <w:bookmarkStart w:name="_Toc230792106" w:id="1"/>
      <w:r w:rsidRPr="7E8808B0" w:rsidR="00CA5028">
        <w:rPr>
          <w:rFonts w:ascii="Calibri" w:hAnsi="Calibri" w:cs="Calibri"/>
          <w:color w:val="auto"/>
        </w:rPr>
        <w:t>INTRODUCCIÓN</w:t>
      </w:r>
      <w:bookmarkEnd w:id="1"/>
    </w:p>
    <w:p w:rsidR="00632B36" w:rsidP="00D97D31" w:rsidRDefault="23C75752" w14:paraId="5815EE77" w14:textId="3D798AC3">
      <w:pPr>
        <w:spacing w:after="120"/>
        <w:jc w:val="both"/>
      </w:pPr>
      <w:r w:rsidR="23C75752">
        <w:rPr/>
        <w:t xml:space="preserve">En el marco de la implementación del Fondo Único de Soluciones Energéticas – FONENERGIA, creado mediante el </w:t>
      </w:r>
      <w:r w:rsidR="00767E67">
        <w:rPr/>
        <w:t>artículo</w:t>
      </w:r>
      <w:r w:rsidR="23C75752">
        <w:rPr/>
        <w:t xml:space="preserve"> 41 de la Ley 2099 de 2021, modificado por el </w:t>
      </w:r>
      <w:r w:rsidR="00767E67">
        <w:rPr/>
        <w:t>artículo</w:t>
      </w:r>
      <w:r w:rsidR="23C75752">
        <w:rPr/>
        <w:t xml:space="preserve"> 247 de la Ley 2294 de 2023 y reglamentado a través del Decreto 0375 de 202</w:t>
      </w:r>
      <w:r w:rsidR="3A9236B6">
        <w:rPr/>
        <w:t>6</w:t>
      </w:r>
      <w:r w:rsidR="23C75752">
        <w:rPr/>
        <w:t>, el Ministerio de Minas y Energía adelanta acciones administrativas, técnicas y financieras necesarias para garantizar la entrada en operación y funcionamiento del nuevo esquema de financiación de soluciones energéticas del sector.</w:t>
      </w:r>
    </w:p>
    <w:p w:rsidR="00632B36" w:rsidP="00D97D31" w:rsidRDefault="0A5F781C" w14:paraId="7546F090" w14:textId="55B74723">
      <w:pPr>
        <w:spacing w:after="120"/>
        <w:jc w:val="both"/>
      </w:pPr>
      <w:r>
        <w:t>El citado Decreto establece que FONENERGIA funcionará como un fondo cuenta administrado por el Ministerio de Minas y Energía, cuyo objeto consiste en coordinar, articular y focalizar los recursos para ejecutar proyectos orientados a la expansión de cobertura de energía eléctrica, mejoramiento en la calidad del servicio, normalización de redes eléctricas y de gas combustible.</w:t>
      </w:r>
    </w:p>
    <w:p w:rsidR="00632B36" w:rsidP="00D97D31" w:rsidRDefault="0A5F781C" w14:paraId="43276BF0" w14:textId="460115B5">
      <w:pPr>
        <w:spacing w:after="120"/>
        <w:jc w:val="both"/>
      </w:pPr>
      <w:r>
        <w:t xml:space="preserve">En desarrollo de </w:t>
      </w:r>
      <w:r w:rsidR="4E03CB27">
        <w:t>este marco normativo</w:t>
      </w:r>
      <w:r>
        <w:t xml:space="preserve">, el Gobierno Nacional dispuso la unificación de los recursos asociados al Fondo de Apoyo Financiero para la Energización de las Zonas No Interconectadas – FAZNI, el Fondo de Apoyo Financiero para la Energización de las zonas Rurales Interconectadas – FAER y el Programa de Normalización de Redes Eléctricas - PRONE en el </w:t>
      </w:r>
      <w:r w:rsidR="77E03226">
        <w:t>F</w:t>
      </w:r>
      <w:r>
        <w:t>ondo Único de Soluciones Energéticas – FONENERGIA.</w:t>
      </w:r>
    </w:p>
    <w:p w:rsidR="0418BADD" w:rsidP="00D97D31" w:rsidRDefault="0418BADD" w14:paraId="3472BC5D" w14:textId="146F3C78">
      <w:pPr>
        <w:spacing w:after="120"/>
        <w:jc w:val="both"/>
      </w:pPr>
      <w:r w:rsidRPr="6F3B6667">
        <w:rPr>
          <w:rFonts w:ascii="Calibri" w:hAnsi="Calibri" w:eastAsia="Calibri" w:cs="Calibri"/>
        </w:rPr>
        <w:t xml:space="preserve">En este contexto, el presente documento sustenta, desde los componentes técnico, jurídico y financiero, la conveniencia de efectuar un traslado presupuestal ordinario mediante el cual se aplica un </w:t>
      </w:r>
      <w:proofErr w:type="spellStart"/>
      <w:r w:rsidRPr="6F3B6667">
        <w:rPr>
          <w:rFonts w:ascii="Calibri" w:hAnsi="Calibri" w:eastAsia="Calibri" w:cs="Calibri"/>
        </w:rPr>
        <w:t>contracrédito</w:t>
      </w:r>
      <w:proofErr w:type="spellEnd"/>
      <w:r w:rsidRPr="6F3B6667">
        <w:rPr>
          <w:rFonts w:ascii="Calibri" w:hAnsi="Calibri" w:eastAsia="Calibri" w:cs="Calibri"/>
        </w:rPr>
        <w:t xml:space="preserve"> a los recursos no comprometidos de los proyectos de inversión FAZNI (BPIN 2022011000082), FAER (BPIN 2018011001048) y PRONE (BPIN 2018011001045), y de manera correlativa, se acreditan recursos al proyecto de inversión de </w:t>
      </w:r>
      <w:r w:rsidRPr="00D755B9">
        <w:rPr>
          <w:rFonts w:ascii="Calibri" w:hAnsi="Calibri" w:eastAsia="Calibri" w:cs="Calibri"/>
        </w:rPr>
        <w:t>FONENERGÍA (BPIN</w:t>
      </w:r>
      <w:r w:rsidR="00D755B9">
        <w:rPr>
          <w:rFonts w:ascii="Calibri" w:hAnsi="Calibri" w:eastAsia="Calibri" w:cs="Calibri"/>
        </w:rPr>
        <w:t xml:space="preserve"> </w:t>
      </w:r>
      <w:r w:rsidRPr="00D755B9" w:rsidR="00D755B9">
        <w:rPr>
          <w:rFonts w:ascii="Calibri" w:hAnsi="Calibri" w:eastAsia="Calibri" w:cs="Calibri"/>
        </w:rPr>
        <w:t>202600000013949</w:t>
      </w:r>
      <w:r w:rsidRPr="00D755B9">
        <w:rPr>
          <w:rFonts w:ascii="Calibri" w:hAnsi="Calibri" w:eastAsia="Calibri" w:cs="Calibri"/>
        </w:rPr>
        <w:t>).</w:t>
      </w:r>
    </w:p>
    <w:p w:rsidR="0418BADD" w:rsidP="00D97D31" w:rsidRDefault="0418BADD" w14:paraId="22A95F93" w14:textId="61472405">
      <w:pPr>
        <w:spacing w:after="120"/>
        <w:jc w:val="both"/>
      </w:pPr>
      <w:r>
        <w:t>La presente solicitud se formula con el propósito de obtener el concepto previo favorable de la Dirección de Programación de Inversiones Públicas (DPIP) del Departamento Nacional de Planeación (DNP). De conformidad con lo dispuesto en el artículo 8 del Decreto 412 de 2018, la operación presupuestal propuesta no modifica el anexo del decreto de liquidación del Presupuesto General de la Nación en lo relacionado con las secciones presupuestales, ni altera los montos aprobados por el Congreso de la República para programas y subprogramas de inversión.</w:t>
      </w:r>
    </w:p>
    <w:p w:rsidRPr="0076012D" w:rsidR="0076012D" w:rsidP="00D97D31" w:rsidRDefault="0076012D" w14:paraId="326373E3" w14:textId="77777777">
      <w:pPr>
        <w:spacing w:after="120"/>
        <w:jc w:val="both"/>
      </w:pPr>
      <w:r w:rsidRPr="0076012D">
        <w:t xml:space="preserve">El traslado presupuestal se enmarca en los principios de eficiencia, economía, planeación y responsabilidad en la administración de los recursos públicos establecidos en el Estatuto Orgánico del Presupuesto, y responde a un análisis técnico integral que evidencia la existencia de recursos no ejecutables durante la vigencia 2026 en los fondos FAZNI, FAER y PRONE, debido a dinámicas operativas, cronogramas de convocatorias y tiempos asociados a la estructuración, </w:t>
      </w:r>
      <w:proofErr w:type="spellStart"/>
      <w:r w:rsidRPr="0076012D">
        <w:t>viabilización</w:t>
      </w:r>
      <w:proofErr w:type="spellEnd"/>
      <w:r w:rsidRPr="0076012D">
        <w:t xml:space="preserve"> y contratación de proyectos.</w:t>
      </w:r>
    </w:p>
    <w:p w:rsidR="08F0F04F" w:rsidP="00D97D31" w:rsidRDefault="08F0F04F" w14:paraId="47055EEF" w14:textId="30947CD8">
      <w:pPr>
        <w:spacing w:before="240" w:after="240"/>
        <w:jc w:val="both"/>
      </w:pPr>
      <w:r w:rsidRPr="6F3B6667">
        <w:rPr>
          <w:rFonts w:ascii="Calibri" w:hAnsi="Calibri" w:eastAsia="Calibri" w:cs="Calibri"/>
        </w:rPr>
        <w:t xml:space="preserve">En particular, durante la ejecución presupuestal de los fondos FAZNI y FAER se identificó que la materialización de los proyectos de inversión depende directamente de los procesos de </w:t>
      </w:r>
      <w:proofErr w:type="spellStart"/>
      <w:r w:rsidRPr="6F3B6667">
        <w:rPr>
          <w:rFonts w:ascii="Calibri" w:hAnsi="Calibri" w:eastAsia="Calibri" w:cs="Calibri"/>
        </w:rPr>
        <w:t>viabilización</w:t>
      </w:r>
      <w:proofErr w:type="spellEnd"/>
      <w:r w:rsidRPr="6F3B6667">
        <w:rPr>
          <w:rFonts w:ascii="Calibri" w:hAnsi="Calibri" w:eastAsia="Calibri" w:cs="Calibri"/>
        </w:rPr>
        <w:t xml:space="preserve"> adelantados por las entidades responsables, esto es, el Instituto de Planificación y Promoción de Soluciones Energéticas para las Zonas No Interconectadas – IPSE y la Unidad de Planeación Minero Energética – UPME. Por su parte, la ejecución del fondo PRONE se encuentra sujeta a cronogramas de convocatorias y a tiempos prolongados asociados a las etapas de estructuración, </w:t>
      </w:r>
      <w:proofErr w:type="spellStart"/>
      <w:r w:rsidRPr="6F3B6667">
        <w:rPr>
          <w:rFonts w:ascii="Calibri" w:hAnsi="Calibri" w:eastAsia="Calibri" w:cs="Calibri"/>
        </w:rPr>
        <w:t>viabilización</w:t>
      </w:r>
      <w:proofErr w:type="spellEnd"/>
      <w:r w:rsidRPr="6F3B6667">
        <w:rPr>
          <w:rFonts w:ascii="Calibri" w:hAnsi="Calibri" w:eastAsia="Calibri" w:cs="Calibri"/>
        </w:rPr>
        <w:t xml:space="preserve"> y contratación de proyectos.</w:t>
      </w:r>
    </w:p>
    <w:p w:rsidR="08F0F04F" w:rsidP="00D97D31" w:rsidRDefault="00F342E5" w14:paraId="054EAA93" w14:textId="6BE1DD76">
      <w:pPr>
        <w:spacing w:before="240" w:after="240"/>
        <w:jc w:val="both"/>
      </w:pPr>
      <w:r>
        <w:rPr>
          <w:rFonts w:ascii="Calibri" w:hAnsi="Calibri" w:eastAsia="Calibri" w:cs="Calibri"/>
        </w:rPr>
        <w:t>Así las cosas</w:t>
      </w:r>
      <w:r w:rsidRPr="6F3B6667" w:rsidR="08F0F04F">
        <w:rPr>
          <w:rFonts w:ascii="Calibri" w:hAnsi="Calibri" w:eastAsia="Calibri" w:cs="Calibri"/>
        </w:rPr>
        <w:t xml:space="preserve">, el traslado </w:t>
      </w:r>
      <w:r>
        <w:rPr>
          <w:rFonts w:ascii="Calibri" w:hAnsi="Calibri" w:eastAsia="Calibri" w:cs="Calibri"/>
        </w:rPr>
        <w:t>presupuestal</w:t>
      </w:r>
      <w:r w:rsidRPr="6F3B6667" w:rsidR="08F0F04F">
        <w:rPr>
          <w:rFonts w:ascii="Calibri" w:hAnsi="Calibri" w:eastAsia="Calibri" w:cs="Calibri"/>
        </w:rPr>
        <w:t xml:space="preserve"> permitirá optimizar el uso de los recursos públicos, reorientándolos hacia un instrumento con capacidad de ejecución transversal y articulación sectorial, como lo es FONENERGÍA, cuyo propósito es garantizar el acceso a energía eléctrica en zonas no interconectadas, zonas rurales interconectadas y barrios subnormales del país. De esta manera, se contribuye al cierre de brechas energéticas territoriales y al cumplimiento de los objetivos de la Transición Energética Justa contemplados en el Plan Nacional de Desarrollo 2022–2026 “Colombia Potencia Mundial de la Vida”.</w:t>
      </w:r>
    </w:p>
    <w:p w:rsidR="08F0F04F" w:rsidP="00D97D31" w:rsidRDefault="2DE5FC1A" w14:paraId="5235D7E4" w14:textId="39178CB1">
      <w:pPr>
        <w:spacing w:after="120"/>
        <w:jc w:val="both"/>
      </w:pPr>
      <w:r w:rsidRPr="7BCBBB90">
        <w:rPr>
          <w:rFonts w:ascii="Calibri" w:hAnsi="Calibri" w:eastAsia="Calibri" w:cs="Calibri"/>
        </w:rPr>
        <w:t>La medida fortalece, además, la coherencia y sinergia entre proyectos que comparten objetivos sectoriales complementarios, tales como la ampliación de la cobertura energética, el mejoramiento de la calidad y confiabilidad del servicio, la incorporación de Fuentes No Convencionales de Energía Renovable (FNCER) y la reducción de brechas de acceso en comunidades vulnerables.</w:t>
      </w:r>
      <w:r w:rsidR="00F54957">
        <w:rPr>
          <w:rFonts w:ascii="Calibri" w:hAnsi="Calibri" w:eastAsia="Calibri" w:cs="Calibri"/>
        </w:rPr>
        <w:t xml:space="preserve"> En la </w:t>
      </w:r>
      <w:r w:rsidRPr="00DD4DEC" w:rsidR="00F54957">
        <w:rPr>
          <w:rFonts w:ascii="Calibri" w:hAnsi="Calibri" w:eastAsia="Calibri" w:cs="Calibri"/>
          <w:b/>
          <w:bCs/>
        </w:rPr>
        <w:t>Tabla 2</w:t>
      </w:r>
      <w:r w:rsidR="00F54957">
        <w:rPr>
          <w:rFonts w:ascii="Calibri" w:hAnsi="Calibri" w:eastAsia="Calibri" w:cs="Calibri"/>
        </w:rPr>
        <w:t xml:space="preserve"> se puede observar </w:t>
      </w:r>
      <w:r w:rsidR="00DD4DEC">
        <w:rPr>
          <w:rFonts w:ascii="Calibri" w:hAnsi="Calibri" w:eastAsia="Calibri" w:cs="Calibri"/>
        </w:rPr>
        <w:t xml:space="preserve">la desagregación del traslado presupuestal. </w:t>
      </w:r>
    </w:p>
    <w:p w:rsidR="337A497D" w:rsidP="00D97D31" w:rsidRDefault="337A497D" w14:paraId="0269804C" w14:textId="1C4248FA">
      <w:pPr>
        <w:spacing w:after="0"/>
        <w:jc w:val="center"/>
        <w:rPr>
          <w:rFonts w:ascii="Calibri" w:hAnsi="Calibri" w:cs="Calibri"/>
          <w:b/>
          <w:bCs/>
        </w:rPr>
      </w:pPr>
      <w:r w:rsidRPr="7BCBBB90">
        <w:rPr>
          <w:rFonts w:ascii="Calibri" w:hAnsi="Calibri" w:cs="Calibri"/>
          <w:b/>
          <w:bCs/>
        </w:rPr>
        <w:t xml:space="preserve">Tabla </w:t>
      </w:r>
      <w:r w:rsidR="000C5F9A">
        <w:rPr>
          <w:rFonts w:ascii="Calibri" w:hAnsi="Calibri" w:cs="Calibri"/>
          <w:b/>
          <w:bCs/>
        </w:rPr>
        <w:t>2</w:t>
      </w:r>
      <w:r w:rsidRPr="7BCBBB90">
        <w:rPr>
          <w:rFonts w:ascii="Calibri" w:hAnsi="Calibri" w:cs="Calibri"/>
          <w:b/>
          <w:bCs/>
        </w:rPr>
        <w:t xml:space="preserve">. </w:t>
      </w:r>
      <w:r w:rsidRPr="7BCBBB90" w:rsidR="39E3C734">
        <w:rPr>
          <w:rFonts w:ascii="Calibri" w:hAnsi="Calibri" w:cs="Calibri"/>
          <w:b/>
          <w:bCs/>
        </w:rPr>
        <w:t>Desagregación del traslado presupuestal</w:t>
      </w:r>
    </w:p>
    <w:tbl>
      <w:tblPr>
        <w:tblW w:w="9430" w:type="dxa"/>
        <w:tblBorders>
          <w:top w:val="single" w:color="000000" w:themeColor="text1" w:sz="2" w:space="0"/>
          <w:left w:val="single" w:color="000000" w:themeColor="text1" w:sz="2" w:space="0"/>
          <w:bottom w:val="single" w:color="000000" w:themeColor="text1" w:sz="2" w:space="0"/>
          <w:right w:val="single" w:color="000000" w:themeColor="text1" w:sz="2" w:space="0"/>
          <w:insideH w:val="single" w:color="000000" w:themeColor="text1" w:sz="2" w:space="0"/>
          <w:insideV w:val="single" w:color="000000" w:themeColor="text1" w:sz="2" w:space="0"/>
        </w:tblBorders>
        <w:tblCellMar>
          <w:left w:w="70" w:type="dxa"/>
          <w:right w:w="70" w:type="dxa"/>
        </w:tblCellMar>
        <w:tblLook w:val="04A0" w:firstRow="1" w:lastRow="0" w:firstColumn="1" w:lastColumn="0" w:noHBand="0" w:noVBand="1"/>
      </w:tblPr>
      <w:tblGrid>
        <w:gridCol w:w="495"/>
        <w:gridCol w:w="959"/>
        <w:gridCol w:w="2220"/>
        <w:gridCol w:w="2348"/>
        <w:gridCol w:w="1067"/>
        <w:gridCol w:w="1116"/>
        <w:gridCol w:w="1225"/>
      </w:tblGrid>
      <w:tr w:rsidRPr="006060E6" w:rsidR="006060E6" w:rsidTr="0F263A78" w14:paraId="20910ACF" w14:textId="77777777">
        <w:trPr>
          <w:trHeight w:val="580"/>
        </w:trPr>
        <w:tc>
          <w:tcPr>
            <w:tcW w:w="1454" w:type="dxa"/>
            <w:gridSpan w:val="2"/>
            <w:shd w:val="clear" w:color="auto" w:fill="D9E2F3" w:themeFill="accent1" w:themeFillTint="33"/>
            <w:vAlign w:val="center"/>
            <w:hideMark/>
          </w:tcPr>
          <w:p w:rsidRPr="006060E6" w:rsidR="006060E6" w:rsidP="00D97D31" w:rsidRDefault="006060E6" w14:paraId="150FC0BB" w14:textId="77777777">
            <w:pPr>
              <w:suppressAutoHyphens w:val="0"/>
              <w:spacing w:after="0"/>
              <w:jc w:val="center"/>
              <w:rPr>
                <w:rFonts w:ascii="Arial" w:hAnsi="Arial" w:eastAsia="Times New Roman" w:cs="Arial"/>
                <w:b/>
                <w:bCs/>
                <w:color w:val="000000"/>
                <w:sz w:val="10"/>
                <w:szCs w:val="10"/>
                <w:lang w:eastAsia="es-CO"/>
              </w:rPr>
            </w:pPr>
            <w:r w:rsidRPr="0F263A78">
              <w:rPr>
                <w:rFonts w:ascii="Arial" w:hAnsi="Arial" w:eastAsia="Times New Roman" w:cs="Arial"/>
                <w:b/>
                <w:color w:val="000000" w:themeColor="text1"/>
                <w:sz w:val="10"/>
                <w:szCs w:val="10"/>
                <w:lang w:eastAsia="es-CO"/>
              </w:rPr>
              <w:t>PROGRAMA</w:t>
            </w:r>
          </w:p>
        </w:tc>
        <w:tc>
          <w:tcPr>
            <w:tcW w:w="2220" w:type="dxa"/>
            <w:shd w:val="clear" w:color="auto" w:fill="D9E2F3" w:themeFill="accent1" w:themeFillTint="33"/>
            <w:vAlign w:val="center"/>
            <w:hideMark/>
          </w:tcPr>
          <w:p w:rsidRPr="006060E6" w:rsidR="006060E6" w:rsidP="00D97D31" w:rsidRDefault="006060E6" w14:paraId="18617CDC" w14:textId="77777777">
            <w:pPr>
              <w:suppressAutoHyphens w:val="0"/>
              <w:spacing w:after="0"/>
              <w:jc w:val="center"/>
              <w:rPr>
                <w:rFonts w:ascii="Arial" w:hAnsi="Arial" w:eastAsia="Times New Roman" w:cs="Arial"/>
                <w:b/>
                <w:bCs/>
                <w:color w:val="000000"/>
                <w:sz w:val="10"/>
                <w:szCs w:val="10"/>
                <w:lang w:eastAsia="es-CO"/>
              </w:rPr>
            </w:pPr>
            <w:r w:rsidRPr="0F263A78">
              <w:rPr>
                <w:rFonts w:ascii="Arial" w:hAnsi="Arial" w:eastAsia="Times New Roman" w:cs="Arial"/>
                <w:b/>
                <w:color w:val="000000" w:themeColor="text1"/>
                <w:sz w:val="10"/>
                <w:szCs w:val="10"/>
                <w:lang w:eastAsia="es-CO"/>
              </w:rPr>
              <w:t>PROYECTO</w:t>
            </w:r>
          </w:p>
        </w:tc>
        <w:tc>
          <w:tcPr>
            <w:tcW w:w="2348" w:type="dxa"/>
            <w:shd w:val="clear" w:color="auto" w:fill="D9E2F3" w:themeFill="accent1" w:themeFillTint="33"/>
            <w:vAlign w:val="center"/>
            <w:hideMark/>
          </w:tcPr>
          <w:p w:rsidRPr="006060E6" w:rsidR="006060E6" w:rsidP="00D97D31" w:rsidRDefault="006060E6" w14:paraId="6EFFBCDD" w14:textId="77777777">
            <w:pPr>
              <w:suppressAutoHyphens w:val="0"/>
              <w:spacing w:after="0"/>
              <w:jc w:val="center"/>
              <w:rPr>
                <w:rFonts w:ascii="Arial" w:hAnsi="Arial" w:eastAsia="Times New Roman" w:cs="Arial"/>
                <w:b/>
                <w:bCs/>
                <w:color w:val="000000"/>
                <w:sz w:val="10"/>
                <w:szCs w:val="10"/>
                <w:lang w:eastAsia="es-CO"/>
              </w:rPr>
            </w:pPr>
            <w:r w:rsidRPr="0F263A78">
              <w:rPr>
                <w:rFonts w:ascii="Arial" w:hAnsi="Arial" w:eastAsia="Times New Roman" w:cs="Arial"/>
                <w:b/>
                <w:color w:val="000000" w:themeColor="text1"/>
                <w:sz w:val="10"/>
                <w:szCs w:val="10"/>
                <w:lang w:eastAsia="es-CO"/>
              </w:rPr>
              <w:t>PRODUCTO</w:t>
            </w:r>
          </w:p>
        </w:tc>
        <w:tc>
          <w:tcPr>
            <w:tcW w:w="1067" w:type="dxa"/>
            <w:shd w:val="clear" w:color="auto" w:fill="D9E2F3" w:themeFill="accent1" w:themeFillTint="33"/>
            <w:vAlign w:val="center"/>
            <w:hideMark/>
          </w:tcPr>
          <w:p w:rsidRPr="006060E6" w:rsidR="006060E6" w:rsidP="00D97D31" w:rsidRDefault="006060E6" w14:paraId="63FD6C49" w14:textId="77777777">
            <w:pPr>
              <w:suppressAutoHyphens w:val="0"/>
              <w:spacing w:after="0"/>
              <w:jc w:val="center"/>
              <w:rPr>
                <w:rFonts w:ascii="Arial" w:hAnsi="Arial" w:eastAsia="Times New Roman" w:cs="Arial"/>
                <w:b/>
                <w:bCs/>
                <w:color w:val="000000"/>
                <w:sz w:val="10"/>
                <w:szCs w:val="10"/>
                <w:lang w:eastAsia="es-CO"/>
              </w:rPr>
            </w:pPr>
            <w:r w:rsidRPr="0F263A78">
              <w:rPr>
                <w:rFonts w:ascii="Arial" w:hAnsi="Arial" w:eastAsia="Times New Roman" w:cs="Arial"/>
                <w:b/>
                <w:color w:val="000000" w:themeColor="text1"/>
                <w:sz w:val="10"/>
                <w:szCs w:val="10"/>
                <w:lang w:eastAsia="es-CO"/>
              </w:rPr>
              <w:t>APROPIACIÓN INICIAL</w:t>
            </w:r>
            <w:r>
              <w:br/>
            </w:r>
            <w:r w:rsidRPr="0F263A78">
              <w:rPr>
                <w:rFonts w:ascii="Arial" w:hAnsi="Arial" w:eastAsia="Times New Roman" w:cs="Arial"/>
                <w:b/>
                <w:color w:val="000000" w:themeColor="text1"/>
                <w:sz w:val="10"/>
                <w:szCs w:val="10"/>
                <w:lang w:eastAsia="es-CO"/>
              </w:rPr>
              <w:t>2026</w:t>
            </w:r>
          </w:p>
        </w:tc>
        <w:tc>
          <w:tcPr>
            <w:tcW w:w="1116" w:type="dxa"/>
            <w:shd w:val="clear" w:color="auto" w:fill="D9E2F3" w:themeFill="accent1" w:themeFillTint="33"/>
            <w:vAlign w:val="center"/>
            <w:hideMark/>
          </w:tcPr>
          <w:p w:rsidRPr="006060E6" w:rsidR="006060E6" w:rsidP="00D97D31" w:rsidRDefault="006060E6" w14:paraId="0C300C0E" w14:textId="77777777">
            <w:pPr>
              <w:suppressAutoHyphens w:val="0"/>
              <w:spacing w:after="0"/>
              <w:jc w:val="center"/>
              <w:rPr>
                <w:rFonts w:ascii="Arial" w:hAnsi="Arial" w:eastAsia="Times New Roman" w:cs="Arial"/>
                <w:b/>
                <w:bCs/>
                <w:color w:val="000000"/>
                <w:sz w:val="10"/>
                <w:szCs w:val="10"/>
                <w:lang w:eastAsia="es-CO"/>
              </w:rPr>
            </w:pPr>
            <w:r w:rsidRPr="0F263A78">
              <w:rPr>
                <w:rFonts w:ascii="Arial" w:hAnsi="Arial" w:eastAsia="Times New Roman" w:cs="Arial"/>
                <w:b/>
                <w:color w:val="000000" w:themeColor="text1"/>
                <w:sz w:val="10"/>
                <w:szCs w:val="10"/>
                <w:lang w:eastAsia="es-CO"/>
              </w:rPr>
              <w:t>TRASLADO</w:t>
            </w:r>
            <w:r>
              <w:br/>
            </w:r>
            <w:r w:rsidRPr="0F263A78">
              <w:rPr>
                <w:rFonts w:ascii="Arial" w:hAnsi="Arial" w:eastAsia="Times New Roman" w:cs="Arial"/>
                <w:b/>
                <w:color w:val="000000" w:themeColor="text1"/>
                <w:sz w:val="10"/>
                <w:szCs w:val="10"/>
                <w:lang w:eastAsia="es-CO"/>
              </w:rPr>
              <w:t>PRESUPUESTAL</w:t>
            </w:r>
            <w:r>
              <w:br/>
            </w:r>
            <w:r w:rsidRPr="0F263A78">
              <w:rPr>
                <w:rFonts w:ascii="Arial" w:hAnsi="Arial" w:eastAsia="Times New Roman" w:cs="Arial"/>
                <w:b/>
                <w:color w:val="000000" w:themeColor="text1"/>
                <w:sz w:val="10"/>
                <w:szCs w:val="10"/>
                <w:lang w:eastAsia="es-CO"/>
              </w:rPr>
              <w:t>A FONENERGIA</w:t>
            </w:r>
          </w:p>
        </w:tc>
        <w:tc>
          <w:tcPr>
            <w:tcW w:w="1225" w:type="dxa"/>
            <w:shd w:val="clear" w:color="auto" w:fill="D9E2F3" w:themeFill="accent1" w:themeFillTint="33"/>
            <w:vAlign w:val="center"/>
            <w:hideMark/>
          </w:tcPr>
          <w:p w:rsidRPr="006060E6" w:rsidR="006060E6" w:rsidP="00D97D31" w:rsidRDefault="006060E6" w14:paraId="23C6E6CD" w14:textId="77777777">
            <w:pPr>
              <w:suppressAutoHyphens w:val="0"/>
              <w:spacing w:after="0"/>
              <w:jc w:val="center"/>
              <w:rPr>
                <w:rFonts w:ascii="Arial" w:hAnsi="Arial" w:eastAsia="Times New Roman" w:cs="Arial"/>
                <w:b/>
                <w:bCs/>
                <w:color w:val="000000"/>
                <w:sz w:val="10"/>
                <w:szCs w:val="10"/>
                <w:lang w:eastAsia="es-CO"/>
              </w:rPr>
            </w:pPr>
            <w:r w:rsidRPr="0F263A78">
              <w:rPr>
                <w:rFonts w:ascii="Arial" w:hAnsi="Arial" w:eastAsia="Times New Roman" w:cs="Arial"/>
                <w:b/>
                <w:color w:val="000000" w:themeColor="text1"/>
                <w:sz w:val="10"/>
                <w:szCs w:val="10"/>
                <w:lang w:eastAsia="es-CO"/>
              </w:rPr>
              <w:t>APROPIACIÓN FINAL</w:t>
            </w:r>
            <w:r>
              <w:br/>
            </w:r>
            <w:r w:rsidRPr="0F263A78">
              <w:rPr>
                <w:rFonts w:ascii="Arial" w:hAnsi="Arial" w:eastAsia="Times New Roman" w:cs="Arial"/>
                <w:b/>
                <w:color w:val="000000" w:themeColor="text1"/>
                <w:sz w:val="10"/>
                <w:szCs w:val="10"/>
                <w:lang w:eastAsia="es-CO"/>
              </w:rPr>
              <w:t>2026</w:t>
            </w:r>
          </w:p>
        </w:tc>
      </w:tr>
      <w:tr w:rsidRPr="006060E6" w:rsidR="006060E6" w:rsidTr="0F263A78" w14:paraId="7259DF9A" w14:textId="77777777">
        <w:trPr>
          <w:trHeight w:val="651"/>
        </w:trPr>
        <w:tc>
          <w:tcPr>
            <w:tcW w:w="495" w:type="dxa"/>
            <w:vMerge w:val="restart"/>
            <w:vAlign w:val="center"/>
            <w:hideMark/>
          </w:tcPr>
          <w:p w:rsidRPr="006060E6" w:rsidR="006060E6" w:rsidP="00D97D31" w:rsidRDefault="006060E6" w14:paraId="775873D9" w14:textId="77777777">
            <w:pPr>
              <w:suppressAutoHyphens w:val="0"/>
              <w:spacing w:after="0"/>
              <w:jc w:val="center"/>
              <w:rPr>
                <w:rFonts w:ascii="Arial" w:hAnsi="Arial" w:eastAsia="Times New Roman" w:cs="Arial"/>
                <w:color w:val="000000"/>
                <w:sz w:val="10"/>
                <w:szCs w:val="10"/>
                <w:lang w:eastAsia="es-CO"/>
              </w:rPr>
            </w:pPr>
            <w:r w:rsidRPr="0F263A78">
              <w:rPr>
                <w:rFonts w:ascii="Arial" w:hAnsi="Arial" w:eastAsia="Times New Roman" w:cs="Arial"/>
                <w:color w:val="000000" w:themeColor="text1"/>
                <w:sz w:val="10"/>
                <w:szCs w:val="10"/>
                <w:lang w:eastAsia="es-CO"/>
              </w:rPr>
              <w:t>2102</w:t>
            </w:r>
          </w:p>
        </w:tc>
        <w:tc>
          <w:tcPr>
            <w:tcW w:w="959" w:type="dxa"/>
            <w:vMerge w:val="restart"/>
            <w:vAlign w:val="center"/>
            <w:hideMark/>
          </w:tcPr>
          <w:p w:rsidRPr="006060E6" w:rsidR="006060E6" w:rsidP="00D97D31" w:rsidRDefault="006060E6" w14:paraId="17614512" w14:textId="77777777">
            <w:pPr>
              <w:suppressAutoHyphens w:val="0"/>
              <w:spacing w:after="0"/>
              <w:jc w:val="center"/>
              <w:rPr>
                <w:rFonts w:ascii="Arial" w:hAnsi="Arial" w:eastAsia="Times New Roman" w:cs="Arial"/>
                <w:color w:val="000000"/>
                <w:sz w:val="10"/>
                <w:szCs w:val="10"/>
                <w:lang w:eastAsia="es-CO"/>
              </w:rPr>
            </w:pPr>
            <w:r w:rsidRPr="0F263A78">
              <w:rPr>
                <w:rFonts w:ascii="Arial" w:hAnsi="Arial" w:eastAsia="Times New Roman" w:cs="Arial"/>
                <w:color w:val="000000" w:themeColor="text1"/>
                <w:sz w:val="10"/>
                <w:szCs w:val="10"/>
                <w:lang w:eastAsia="es-CO"/>
              </w:rPr>
              <w:t>Consolidación Productiva del Sector de Energía Eléctrica</w:t>
            </w:r>
          </w:p>
        </w:tc>
        <w:tc>
          <w:tcPr>
            <w:tcW w:w="2220" w:type="dxa"/>
            <w:vAlign w:val="center"/>
            <w:hideMark/>
          </w:tcPr>
          <w:p w:rsidRPr="006060E6" w:rsidR="006060E6" w:rsidP="00D97D31" w:rsidRDefault="006060E6" w14:paraId="09A3731F" w14:textId="564C394A">
            <w:pPr>
              <w:suppressAutoHyphens w:val="0"/>
              <w:spacing w:after="0"/>
              <w:jc w:val="both"/>
              <w:rPr>
                <w:rFonts w:ascii="Arial" w:hAnsi="Arial" w:eastAsia="Times New Roman" w:cs="Arial"/>
                <w:color w:val="000000"/>
                <w:sz w:val="10"/>
                <w:szCs w:val="10"/>
                <w:lang w:eastAsia="es-CO"/>
              </w:rPr>
            </w:pPr>
            <w:r w:rsidRPr="0F263A78">
              <w:rPr>
                <w:rFonts w:ascii="Arial" w:hAnsi="Arial" w:eastAsia="Times New Roman" w:cs="Arial"/>
                <w:color w:val="000000" w:themeColor="text1"/>
                <w:sz w:val="10"/>
                <w:szCs w:val="10"/>
                <w:lang w:eastAsia="es-CO"/>
              </w:rPr>
              <w:t>Ampliación de la cobertura del servicio de energía eléctrica en las Zonas No Interconectadas – ZNI en el territorio Nacional</w:t>
            </w:r>
          </w:p>
        </w:tc>
        <w:tc>
          <w:tcPr>
            <w:tcW w:w="2348" w:type="dxa"/>
            <w:vAlign w:val="center"/>
            <w:hideMark/>
          </w:tcPr>
          <w:p w:rsidRPr="006060E6" w:rsidR="006060E6" w:rsidP="00D97D31" w:rsidRDefault="006060E6" w14:paraId="5E842CD9" w14:textId="77777777">
            <w:pPr>
              <w:suppressAutoHyphens w:val="0"/>
              <w:spacing w:after="0"/>
              <w:jc w:val="both"/>
              <w:rPr>
                <w:rFonts w:ascii="Arial" w:hAnsi="Arial" w:eastAsia="Times New Roman" w:cs="Arial"/>
                <w:color w:val="000000"/>
                <w:sz w:val="10"/>
                <w:szCs w:val="10"/>
                <w:lang w:eastAsia="es-CO"/>
              </w:rPr>
            </w:pPr>
            <w:r w:rsidRPr="0F263A78">
              <w:rPr>
                <w:rFonts w:ascii="Arial" w:hAnsi="Arial" w:eastAsia="Times New Roman" w:cs="Arial"/>
                <w:color w:val="000000" w:themeColor="text1"/>
                <w:sz w:val="10"/>
                <w:szCs w:val="10"/>
                <w:lang w:eastAsia="es-CO"/>
              </w:rPr>
              <w:t>Servicio de apoyo financiero para la financiación de infraestructura de energía eléctrica en las zonas no interconectadas - ZNI</w:t>
            </w:r>
          </w:p>
        </w:tc>
        <w:tc>
          <w:tcPr>
            <w:tcW w:w="1067" w:type="dxa"/>
            <w:vAlign w:val="center"/>
            <w:hideMark/>
          </w:tcPr>
          <w:p w:rsidRPr="006060E6" w:rsidR="006060E6" w:rsidP="00D97D31" w:rsidRDefault="006060E6" w14:paraId="0FB970B4" w14:textId="77777777">
            <w:pPr>
              <w:suppressAutoHyphens w:val="0"/>
              <w:spacing w:after="0"/>
              <w:jc w:val="center"/>
              <w:rPr>
                <w:rFonts w:ascii="Arial" w:hAnsi="Arial" w:eastAsia="Times New Roman" w:cs="Arial"/>
                <w:color w:val="000000"/>
                <w:sz w:val="10"/>
                <w:szCs w:val="10"/>
                <w:lang w:eastAsia="es-CO"/>
              </w:rPr>
            </w:pPr>
            <w:r w:rsidRPr="0F263A78">
              <w:rPr>
                <w:rFonts w:ascii="Arial" w:hAnsi="Arial" w:eastAsia="Times New Roman" w:cs="Arial"/>
                <w:color w:val="000000" w:themeColor="text1"/>
                <w:sz w:val="10"/>
                <w:szCs w:val="10"/>
                <w:lang w:eastAsia="es-CO"/>
              </w:rPr>
              <w:t>$ 230.000.000.000</w:t>
            </w:r>
          </w:p>
        </w:tc>
        <w:tc>
          <w:tcPr>
            <w:tcW w:w="1116" w:type="dxa"/>
            <w:vAlign w:val="center"/>
            <w:hideMark/>
          </w:tcPr>
          <w:p w:rsidRPr="00845B12" w:rsidR="006060E6" w:rsidP="00D97D31" w:rsidRDefault="006060E6" w14:paraId="58256422" w14:textId="77777777">
            <w:pPr>
              <w:suppressAutoHyphens w:val="0"/>
              <w:spacing w:after="0"/>
              <w:jc w:val="center"/>
              <w:rPr>
                <w:rFonts w:ascii="Arial" w:hAnsi="Arial" w:eastAsia="Times New Roman" w:cs="Arial"/>
                <w:color w:val="000000"/>
                <w:sz w:val="10"/>
                <w:szCs w:val="10"/>
                <w:highlight w:val="yellow"/>
                <w:lang w:eastAsia="es-CO"/>
              </w:rPr>
            </w:pPr>
            <w:r w:rsidRPr="00845B12">
              <w:rPr>
                <w:rFonts w:ascii="Arial" w:hAnsi="Arial" w:eastAsia="Times New Roman" w:cs="Arial"/>
                <w:color w:val="000000" w:themeColor="text1"/>
                <w:sz w:val="10"/>
                <w:szCs w:val="10"/>
                <w:highlight w:val="yellow"/>
                <w:lang w:eastAsia="es-CO"/>
              </w:rPr>
              <w:t>$ 10.203.600.018</w:t>
            </w:r>
          </w:p>
        </w:tc>
        <w:tc>
          <w:tcPr>
            <w:tcW w:w="1225" w:type="dxa"/>
            <w:vAlign w:val="center"/>
            <w:hideMark/>
          </w:tcPr>
          <w:p w:rsidRPr="006060E6" w:rsidR="006060E6" w:rsidP="00D97D31" w:rsidRDefault="006060E6" w14:paraId="090A7C94" w14:textId="77777777">
            <w:pPr>
              <w:suppressAutoHyphens w:val="0"/>
              <w:spacing w:after="0"/>
              <w:jc w:val="center"/>
              <w:rPr>
                <w:rFonts w:ascii="Arial" w:hAnsi="Arial" w:eastAsia="Times New Roman" w:cs="Arial"/>
                <w:color w:val="000000"/>
                <w:sz w:val="10"/>
                <w:szCs w:val="10"/>
                <w:lang w:eastAsia="es-CO"/>
              </w:rPr>
            </w:pPr>
            <w:r w:rsidRPr="0F263A78">
              <w:rPr>
                <w:rFonts w:ascii="Arial" w:hAnsi="Arial" w:eastAsia="Times New Roman" w:cs="Arial"/>
                <w:color w:val="000000" w:themeColor="text1"/>
                <w:sz w:val="10"/>
                <w:szCs w:val="10"/>
                <w:lang w:eastAsia="es-CO"/>
              </w:rPr>
              <w:t>$ 219.796.399.982</w:t>
            </w:r>
          </w:p>
        </w:tc>
      </w:tr>
      <w:tr w:rsidRPr="006060E6" w:rsidR="006060E6" w:rsidTr="0F263A78" w14:paraId="61210C51" w14:textId="77777777">
        <w:trPr>
          <w:trHeight w:val="263"/>
        </w:trPr>
        <w:tc>
          <w:tcPr>
            <w:tcW w:w="495" w:type="dxa"/>
            <w:vMerge/>
            <w:vAlign w:val="center"/>
            <w:hideMark/>
          </w:tcPr>
          <w:p w:rsidRPr="006060E6" w:rsidR="006060E6" w:rsidP="00D97D31" w:rsidRDefault="006060E6" w14:paraId="7CE40CBB" w14:textId="77777777">
            <w:pPr>
              <w:suppressAutoHyphens w:val="0"/>
              <w:spacing w:after="0"/>
              <w:rPr>
                <w:rFonts w:ascii="Arial" w:hAnsi="Arial" w:eastAsia="Times New Roman" w:cs="Arial"/>
                <w:color w:val="000000"/>
                <w:sz w:val="10"/>
                <w:szCs w:val="10"/>
                <w:lang w:eastAsia="es-CO"/>
              </w:rPr>
            </w:pPr>
          </w:p>
        </w:tc>
        <w:tc>
          <w:tcPr>
            <w:tcW w:w="959" w:type="dxa"/>
            <w:vMerge/>
            <w:vAlign w:val="center"/>
            <w:hideMark/>
          </w:tcPr>
          <w:p w:rsidRPr="006060E6" w:rsidR="006060E6" w:rsidP="00D97D31" w:rsidRDefault="006060E6" w14:paraId="53C95074" w14:textId="77777777">
            <w:pPr>
              <w:suppressAutoHyphens w:val="0"/>
              <w:spacing w:after="0"/>
              <w:rPr>
                <w:rFonts w:ascii="Arial" w:hAnsi="Arial" w:eastAsia="Times New Roman" w:cs="Arial"/>
                <w:color w:val="000000"/>
                <w:sz w:val="10"/>
                <w:szCs w:val="10"/>
                <w:lang w:eastAsia="es-CO"/>
              </w:rPr>
            </w:pPr>
          </w:p>
        </w:tc>
        <w:tc>
          <w:tcPr>
            <w:tcW w:w="2220" w:type="dxa"/>
            <w:vAlign w:val="center"/>
            <w:hideMark/>
          </w:tcPr>
          <w:p w:rsidRPr="006060E6" w:rsidR="006060E6" w:rsidP="00D97D31" w:rsidRDefault="006060E6" w14:paraId="6D2048FB" w14:textId="3FD21E2B">
            <w:pPr>
              <w:suppressAutoHyphens w:val="0"/>
              <w:spacing w:after="0"/>
              <w:jc w:val="both"/>
              <w:rPr>
                <w:rFonts w:ascii="Arial" w:hAnsi="Arial" w:eastAsia="Times New Roman" w:cs="Arial"/>
                <w:color w:val="000000"/>
                <w:sz w:val="10"/>
                <w:szCs w:val="10"/>
                <w:lang w:eastAsia="es-CO"/>
              </w:rPr>
            </w:pPr>
            <w:r w:rsidRPr="0F263A78">
              <w:rPr>
                <w:rFonts w:ascii="Arial" w:hAnsi="Arial" w:eastAsia="Times New Roman" w:cs="Arial"/>
                <w:color w:val="000000" w:themeColor="text1"/>
                <w:sz w:val="10"/>
                <w:szCs w:val="10"/>
                <w:lang w:eastAsia="es-CO"/>
              </w:rPr>
              <w:t>Mejoramiento del servicio de energía eléctrica en las zonas rurales del territorio nacional</w:t>
            </w:r>
          </w:p>
        </w:tc>
        <w:tc>
          <w:tcPr>
            <w:tcW w:w="2348" w:type="dxa"/>
            <w:vAlign w:val="center"/>
            <w:hideMark/>
          </w:tcPr>
          <w:p w:rsidRPr="006060E6" w:rsidR="006060E6" w:rsidP="00D97D31" w:rsidRDefault="006060E6" w14:paraId="0A9CB308" w14:textId="77777777">
            <w:pPr>
              <w:suppressAutoHyphens w:val="0"/>
              <w:spacing w:after="0"/>
              <w:jc w:val="both"/>
              <w:rPr>
                <w:rFonts w:ascii="Arial" w:hAnsi="Arial" w:eastAsia="Times New Roman" w:cs="Arial"/>
                <w:color w:val="000000"/>
                <w:sz w:val="10"/>
                <w:szCs w:val="10"/>
                <w:lang w:eastAsia="es-CO"/>
              </w:rPr>
            </w:pPr>
            <w:r w:rsidRPr="0F263A78">
              <w:rPr>
                <w:rFonts w:ascii="Arial" w:hAnsi="Arial" w:eastAsia="Times New Roman" w:cs="Arial"/>
                <w:color w:val="000000" w:themeColor="text1"/>
                <w:sz w:val="10"/>
                <w:szCs w:val="10"/>
                <w:lang w:eastAsia="es-CO"/>
              </w:rPr>
              <w:t>Servicio de apoyo financiero para la financiación de infraestructura de energía eléctrica en las zonas rurales interconectadas.</w:t>
            </w:r>
          </w:p>
        </w:tc>
        <w:tc>
          <w:tcPr>
            <w:tcW w:w="1067" w:type="dxa"/>
            <w:vAlign w:val="center"/>
            <w:hideMark/>
          </w:tcPr>
          <w:p w:rsidRPr="006060E6" w:rsidR="006060E6" w:rsidP="00D97D31" w:rsidRDefault="006060E6" w14:paraId="388CF879" w14:textId="77777777">
            <w:pPr>
              <w:suppressAutoHyphens w:val="0"/>
              <w:spacing w:after="0"/>
              <w:jc w:val="center"/>
              <w:rPr>
                <w:rFonts w:ascii="Arial" w:hAnsi="Arial" w:eastAsia="Times New Roman" w:cs="Arial"/>
                <w:color w:val="000000"/>
                <w:sz w:val="10"/>
                <w:szCs w:val="10"/>
                <w:lang w:eastAsia="es-CO"/>
              </w:rPr>
            </w:pPr>
            <w:r w:rsidRPr="0F263A78">
              <w:rPr>
                <w:rFonts w:ascii="Arial" w:hAnsi="Arial" w:eastAsia="Times New Roman" w:cs="Arial"/>
                <w:color w:val="000000" w:themeColor="text1"/>
                <w:sz w:val="10"/>
                <w:szCs w:val="10"/>
                <w:lang w:eastAsia="es-CO"/>
              </w:rPr>
              <w:t>$ 200.000.000.000</w:t>
            </w:r>
          </w:p>
        </w:tc>
        <w:tc>
          <w:tcPr>
            <w:tcW w:w="1116" w:type="dxa"/>
            <w:vAlign w:val="center"/>
            <w:hideMark/>
          </w:tcPr>
          <w:p w:rsidRPr="00845B12" w:rsidR="006060E6" w:rsidP="00D97D31" w:rsidRDefault="006060E6" w14:paraId="13250723" w14:textId="77777777">
            <w:pPr>
              <w:suppressAutoHyphens w:val="0"/>
              <w:spacing w:after="0"/>
              <w:jc w:val="center"/>
              <w:rPr>
                <w:rFonts w:ascii="Arial" w:hAnsi="Arial" w:eastAsia="Times New Roman" w:cs="Arial"/>
                <w:color w:val="000000"/>
                <w:sz w:val="10"/>
                <w:szCs w:val="10"/>
                <w:highlight w:val="yellow"/>
                <w:lang w:eastAsia="es-CO"/>
              </w:rPr>
            </w:pPr>
            <w:r w:rsidRPr="00845B12">
              <w:rPr>
                <w:rFonts w:ascii="Arial" w:hAnsi="Arial" w:eastAsia="Times New Roman" w:cs="Arial"/>
                <w:color w:val="000000" w:themeColor="text1"/>
                <w:sz w:val="10"/>
                <w:szCs w:val="10"/>
                <w:highlight w:val="yellow"/>
                <w:lang w:eastAsia="es-CO"/>
              </w:rPr>
              <w:t>$ 85.372.575.688</w:t>
            </w:r>
          </w:p>
        </w:tc>
        <w:tc>
          <w:tcPr>
            <w:tcW w:w="1225" w:type="dxa"/>
            <w:vAlign w:val="center"/>
            <w:hideMark/>
          </w:tcPr>
          <w:p w:rsidRPr="006060E6" w:rsidR="006060E6" w:rsidP="00D97D31" w:rsidRDefault="006060E6" w14:paraId="3246CC86" w14:textId="77777777">
            <w:pPr>
              <w:suppressAutoHyphens w:val="0"/>
              <w:spacing w:after="0"/>
              <w:jc w:val="center"/>
              <w:rPr>
                <w:rFonts w:ascii="Arial" w:hAnsi="Arial" w:eastAsia="Times New Roman" w:cs="Arial"/>
                <w:color w:val="000000"/>
                <w:sz w:val="10"/>
                <w:szCs w:val="10"/>
                <w:lang w:eastAsia="es-CO"/>
              </w:rPr>
            </w:pPr>
            <w:r w:rsidRPr="0F263A78">
              <w:rPr>
                <w:rFonts w:ascii="Arial" w:hAnsi="Arial" w:eastAsia="Times New Roman" w:cs="Arial"/>
                <w:color w:val="000000" w:themeColor="text1"/>
                <w:sz w:val="10"/>
                <w:szCs w:val="10"/>
                <w:lang w:eastAsia="es-CO"/>
              </w:rPr>
              <w:t>$ 114.627.424.312</w:t>
            </w:r>
          </w:p>
        </w:tc>
      </w:tr>
      <w:tr w:rsidRPr="006060E6" w:rsidR="006060E6" w:rsidTr="0F263A78" w14:paraId="0A919B08" w14:textId="77777777">
        <w:trPr>
          <w:trHeight w:val="339"/>
        </w:trPr>
        <w:tc>
          <w:tcPr>
            <w:tcW w:w="495" w:type="dxa"/>
            <w:vMerge/>
            <w:vAlign w:val="center"/>
            <w:hideMark/>
          </w:tcPr>
          <w:p w:rsidRPr="006060E6" w:rsidR="006060E6" w:rsidP="00D97D31" w:rsidRDefault="006060E6" w14:paraId="4BE25EE2" w14:textId="77777777">
            <w:pPr>
              <w:suppressAutoHyphens w:val="0"/>
              <w:spacing w:after="0"/>
              <w:rPr>
                <w:rFonts w:ascii="Arial" w:hAnsi="Arial" w:eastAsia="Times New Roman" w:cs="Arial"/>
                <w:color w:val="000000"/>
                <w:sz w:val="10"/>
                <w:szCs w:val="10"/>
                <w:lang w:eastAsia="es-CO"/>
              </w:rPr>
            </w:pPr>
          </w:p>
        </w:tc>
        <w:tc>
          <w:tcPr>
            <w:tcW w:w="959" w:type="dxa"/>
            <w:vMerge/>
            <w:vAlign w:val="center"/>
            <w:hideMark/>
          </w:tcPr>
          <w:p w:rsidRPr="006060E6" w:rsidR="006060E6" w:rsidP="00D97D31" w:rsidRDefault="006060E6" w14:paraId="465EEDAD" w14:textId="77777777">
            <w:pPr>
              <w:suppressAutoHyphens w:val="0"/>
              <w:spacing w:after="0"/>
              <w:rPr>
                <w:rFonts w:ascii="Arial" w:hAnsi="Arial" w:eastAsia="Times New Roman" w:cs="Arial"/>
                <w:color w:val="000000"/>
                <w:sz w:val="10"/>
                <w:szCs w:val="10"/>
                <w:lang w:eastAsia="es-CO"/>
              </w:rPr>
            </w:pPr>
          </w:p>
        </w:tc>
        <w:tc>
          <w:tcPr>
            <w:tcW w:w="2220" w:type="dxa"/>
            <w:vAlign w:val="center"/>
            <w:hideMark/>
          </w:tcPr>
          <w:p w:rsidRPr="006060E6" w:rsidR="006060E6" w:rsidP="00D97D31" w:rsidRDefault="006060E6" w14:paraId="42D0DD10" w14:textId="77777777">
            <w:pPr>
              <w:suppressAutoHyphens w:val="0"/>
              <w:spacing w:after="0"/>
              <w:jc w:val="both"/>
              <w:rPr>
                <w:rFonts w:ascii="Arial" w:hAnsi="Arial" w:eastAsia="Times New Roman" w:cs="Arial"/>
                <w:color w:val="000000"/>
                <w:sz w:val="10"/>
                <w:szCs w:val="10"/>
                <w:lang w:eastAsia="es-CO"/>
              </w:rPr>
            </w:pPr>
            <w:r w:rsidRPr="0F263A78">
              <w:rPr>
                <w:rFonts w:ascii="Arial" w:hAnsi="Arial" w:eastAsia="Times New Roman" w:cs="Arial"/>
                <w:color w:val="000000" w:themeColor="text1"/>
                <w:sz w:val="10"/>
                <w:szCs w:val="10"/>
                <w:lang w:eastAsia="es-CO"/>
              </w:rPr>
              <w:t>Mejoramiento de la calidad y confiabilidad del servicio de energía eléctrica en los barrios subnormales ubicados en los municipios del sistema interconectado a nivel nacional</w:t>
            </w:r>
          </w:p>
        </w:tc>
        <w:tc>
          <w:tcPr>
            <w:tcW w:w="2348" w:type="dxa"/>
            <w:vAlign w:val="center"/>
            <w:hideMark/>
          </w:tcPr>
          <w:p w:rsidRPr="006060E6" w:rsidR="006060E6" w:rsidP="00D97D31" w:rsidRDefault="006060E6" w14:paraId="61BD9922" w14:textId="77777777">
            <w:pPr>
              <w:suppressAutoHyphens w:val="0"/>
              <w:spacing w:after="0"/>
              <w:jc w:val="both"/>
              <w:rPr>
                <w:rFonts w:ascii="Arial" w:hAnsi="Arial" w:eastAsia="Times New Roman" w:cs="Arial"/>
                <w:color w:val="000000"/>
                <w:sz w:val="10"/>
                <w:szCs w:val="10"/>
                <w:lang w:eastAsia="es-CO"/>
              </w:rPr>
            </w:pPr>
            <w:r w:rsidRPr="0F263A78">
              <w:rPr>
                <w:rFonts w:ascii="Arial" w:hAnsi="Arial" w:eastAsia="Times New Roman" w:cs="Arial"/>
                <w:color w:val="000000" w:themeColor="text1"/>
                <w:sz w:val="10"/>
                <w:szCs w:val="10"/>
                <w:lang w:eastAsia="es-CO"/>
              </w:rPr>
              <w:t>Servicio de apoyo financiero para la normalización de redes de energía eléctrica</w:t>
            </w:r>
          </w:p>
        </w:tc>
        <w:tc>
          <w:tcPr>
            <w:tcW w:w="1067" w:type="dxa"/>
            <w:vAlign w:val="center"/>
            <w:hideMark/>
          </w:tcPr>
          <w:p w:rsidRPr="006060E6" w:rsidR="006060E6" w:rsidP="00D97D31" w:rsidRDefault="006060E6" w14:paraId="41A8A3E3" w14:textId="77777777">
            <w:pPr>
              <w:suppressAutoHyphens w:val="0"/>
              <w:spacing w:after="0"/>
              <w:jc w:val="center"/>
              <w:rPr>
                <w:rFonts w:ascii="Arial" w:hAnsi="Arial" w:eastAsia="Times New Roman" w:cs="Arial"/>
                <w:color w:val="000000"/>
                <w:sz w:val="10"/>
                <w:szCs w:val="10"/>
                <w:lang w:eastAsia="es-CO"/>
              </w:rPr>
            </w:pPr>
            <w:r w:rsidRPr="0F263A78">
              <w:rPr>
                <w:rFonts w:ascii="Arial" w:hAnsi="Arial" w:eastAsia="Times New Roman" w:cs="Arial"/>
                <w:color w:val="000000" w:themeColor="text1"/>
                <w:sz w:val="10"/>
                <w:szCs w:val="10"/>
                <w:lang w:eastAsia="es-CO"/>
              </w:rPr>
              <w:t>$ 140.000.000.000</w:t>
            </w:r>
          </w:p>
        </w:tc>
        <w:tc>
          <w:tcPr>
            <w:tcW w:w="1116" w:type="dxa"/>
            <w:vAlign w:val="center"/>
            <w:hideMark/>
          </w:tcPr>
          <w:p w:rsidRPr="00845B12" w:rsidR="006060E6" w:rsidP="00D97D31" w:rsidRDefault="006060E6" w14:paraId="7DA422F0" w14:textId="77777777">
            <w:pPr>
              <w:suppressAutoHyphens w:val="0"/>
              <w:spacing w:after="0"/>
              <w:jc w:val="center"/>
              <w:rPr>
                <w:rFonts w:ascii="Arial" w:hAnsi="Arial" w:eastAsia="Times New Roman" w:cs="Arial"/>
                <w:color w:val="000000"/>
                <w:sz w:val="10"/>
                <w:szCs w:val="10"/>
                <w:highlight w:val="yellow"/>
                <w:lang w:eastAsia="es-CO"/>
              </w:rPr>
            </w:pPr>
            <w:r w:rsidRPr="00845B12">
              <w:rPr>
                <w:rFonts w:ascii="Arial" w:hAnsi="Arial" w:eastAsia="Times New Roman" w:cs="Arial"/>
                <w:color w:val="000000" w:themeColor="text1"/>
                <w:sz w:val="10"/>
                <w:szCs w:val="10"/>
                <w:highlight w:val="yellow"/>
                <w:lang w:eastAsia="es-CO"/>
              </w:rPr>
              <w:t>$ 24.266.189.702</w:t>
            </w:r>
          </w:p>
        </w:tc>
        <w:tc>
          <w:tcPr>
            <w:tcW w:w="1225" w:type="dxa"/>
            <w:vAlign w:val="center"/>
            <w:hideMark/>
          </w:tcPr>
          <w:p w:rsidRPr="006060E6" w:rsidR="006060E6" w:rsidP="00D97D31" w:rsidRDefault="006060E6" w14:paraId="70A52537" w14:textId="77777777">
            <w:pPr>
              <w:suppressAutoHyphens w:val="0"/>
              <w:spacing w:after="0"/>
              <w:jc w:val="center"/>
              <w:rPr>
                <w:rFonts w:ascii="Arial" w:hAnsi="Arial" w:eastAsia="Times New Roman" w:cs="Arial"/>
                <w:color w:val="000000"/>
                <w:sz w:val="10"/>
                <w:szCs w:val="10"/>
                <w:lang w:eastAsia="es-CO"/>
              </w:rPr>
            </w:pPr>
            <w:r w:rsidRPr="0F263A78">
              <w:rPr>
                <w:rFonts w:ascii="Arial" w:hAnsi="Arial" w:eastAsia="Times New Roman" w:cs="Arial"/>
                <w:color w:val="000000" w:themeColor="text1"/>
                <w:sz w:val="10"/>
                <w:szCs w:val="10"/>
                <w:lang w:eastAsia="es-CO"/>
              </w:rPr>
              <w:t>$ 115.733.810.298</w:t>
            </w:r>
          </w:p>
        </w:tc>
      </w:tr>
    </w:tbl>
    <w:p w:rsidR="01754D2D" w:rsidP="00D97D31" w:rsidRDefault="01754D2D" w14:paraId="746A7503" w14:textId="41EF306E">
      <w:pPr>
        <w:spacing w:after="120"/>
        <w:jc w:val="center"/>
        <w:rPr>
          <w:b/>
          <w:sz w:val="18"/>
          <w:szCs w:val="18"/>
        </w:rPr>
      </w:pPr>
      <w:r w:rsidRPr="0F263A78">
        <w:rPr>
          <w:b/>
          <w:i/>
          <w:sz w:val="18"/>
          <w:szCs w:val="18"/>
        </w:rPr>
        <w:t>Fuente:</w:t>
      </w:r>
      <w:r w:rsidRPr="0F263A78">
        <w:rPr>
          <w:b/>
          <w:sz w:val="18"/>
          <w:szCs w:val="18"/>
        </w:rPr>
        <w:t xml:space="preserve"> </w:t>
      </w:r>
      <w:r w:rsidRPr="0F263A78">
        <w:rPr>
          <w:sz w:val="18"/>
          <w:szCs w:val="18"/>
        </w:rPr>
        <w:t>Dirección de Energía Eléctrica – Grupo de Fondos de Inversión y Gestión del Sector</w:t>
      </w:r>
    </w:p>
    <w:p w:rsidR="6F3B6667" w:rsidP="00D97D31" w:rsidRDefault="6AD52E35" w14:paraId="70F26082" w14:textId="432BDD55">
      <w:pPr>
        <w:spacing w:after="120"/>
        <w:jc w:val="both"/>
      </w:pPr>
      <w:r>
        <w:t>A continuación, se presentan los aspectos técnicos, legales y financieros que sustentan el traslado.</w:t>
      </w:r>
    </w:p>
    <w:p w:rsidRPr="00401398" w:rsidR="002919E7" w:rsidP="00D97D31" w:rsidRDefault="002919E7" w14:paraId="48718E19" w14:textId="77777777">
      <w:pPr>
        <w:spacing w:after="120"/>
        <w:jc w:val="both"/>
      </w:pPr>
    </w:p>
    <w:p w:rsidRPr="00E03187" w:rsidR="00FA18E8" w:rsidP="00D97D31" w:rsidRDefault="007F4844" w14:paraId="49EE28A4" w14:textId="79A1C34E">
      <w:pPr>
        <w:pStyle w:val="Heading2"/>
        <w:ind w:left="426"/>
      </w:pPr>
      <w:bookmarkStart w:name="_Toc230792107" w:id="2"/>
      <w:r>
        <w:t xml:space="preserve">1.1 </w:t>
      </w:r>
      <w:r w:rsidRPr="00E03187" w:rsidR="00E03187">
        <w:t>Aspectos técnicos</w:t>
      </w:r>
      <w:bookmarkEnd w:id="2"/>
    </w:p>
    <w:p w:rsidR="00EB5B60" w:rsidP="00D97D31" w:rsidRDefault="00EB5B60" w14:paraId="5073DEA1" w14:textId="77777777">
      <w:pPr>
        <w:spacing w:after="0"/>
        <w:jc w:val="both"/>
      </w:pPr>
    </w:p>
    <w:p w:rsidR="00362F4E" w:rsidP="00D97D31" w:rsidRDefault="3868BB65" w14:paraId="14BF36CC" w14:textId="4694AB13">
      <w:pPr>
        <w:spacing w:after="0"/>
        <w:jc w:val="both"/>
      </w:pPr>
      <w:r>
        <w:t>Desde el punto de vista técnico, e</w:t>
      </w:r>
      <w:r w:rsidR="00D02E20">
        <w:t xml:space="preserve">l traslado </w:t>
      </w:r>
      <w:r w:rsidR="3BAC9DC9">
        <w:t>de</w:t>
      </w:r>
      <w:r w:rsidR="374E4E97">
        <w:t>l</w:t>
      </w:r>
      <w:r w:rsidR="3BAC9DC9">
        <w:t xml:space="preserve"> </w:t>
      </w:r>
      <w:r w:rsidR="00D02E20">
        <w:t>pr</w:t>
      </w:r>
      <w:r w:rsidR="2CD47DB7">
        <w:t>esupuesto</w:t>
      </w:r>
      <w:r w:rsidR="00D02E20">
        <w:t xml:space="preserve"> contribuye </w:t>
      </w:r>
      <w:r w:rsidR="710702C5">
        <w:t>al cierre de brechas energéticas</w:t>
      </w:r>
      <w:r w:rsidR="00D02E20">
        <w:t xml:space="preserve">, con efectos directos en la mejora de la </w:t>
      </w:r>
      <w:r w:rsidR="44E6AB0A">
        <w:t xml:space="preserve">prestación del servicio de energía eléctrica que </w:t>
      </w:r>
      <w:r w:rsidR="375F7AF7">
        <w:t>fortalece el</w:t>
      </w:r>
      <w:r w:rsidR="00D02E20">
        <w:t xml:space="preserve"> desarrollo socioeconómico en territorios con alta incidencia de pobreza</w:t>
      </w:r>
      <w:r w:rsidR="6EF40EFD">
        <w:t>, sin servicio de energía o con conexiones informales que afectan la seguridad de la red eléctrica y de los habitantes en el área de influencia.</w:t>
      </w:r>
      <w:r w:rsidR="00F912E6">
        <w:t xml:space="preserve"> </w:t>
      </w:r>
    </w:p>
    <w:p w:rsidR="00362F4E" w:rsidP="00D97D31" w:rsidRDefault="00362F4E" w14:paraId="2954896A" w14:textId="77777777">
      <w:pPr>
        <w:spacing w:after="0"/>
        <w:jc w:val="both"/>
      </w:pPr>
    </w:p>
    <w:p w:rsidR="000F1FAA" w:rsidP="00D97D31" w:rsidRDefault="64F084E6" w14:paraId="1A85BC86" w14:textId="6B093CF5">
      <w:pPr>
        <w:spacing w:after="0"/>
        <w:jc w:val="both"/>
      </w:pPr>
      <w:r>
        <w:t>Est</w:t>
      </w:r>
      <w:r w:rsidR="705C89B6">
        <w:t>e</w:t>
      </w:r>
      <w:r w:rsidR="00F912E6">
        <w:t xml:space="preserve"> </w:t>
      </w:r>
      <w:r w:rsidR="00513F5A">
        <w:t>trámite</w:t>
      </w:r>
      <w:r w:rsidR="00F912E6">
        <w:t xml:space="preserve"> permite dar respuesta</w:t>
      </w:r>
      <w:r w:rsidR="2F11C559">
        <w:t xml:space="preserve"> a</w:t>
      </w:r>
      <w:r w:rsidR="7FC18F5A">
        <w:t xml:space="preserve"> </w:t>
      </w:r>
      <w:r w:rsidR="2F11C559">
        <w:t>la necesidad de optimizar la ejecución de los recursos del</w:t>
      </w:r>
      <w:r w:rsidR="24EBBC70">
        <w:t xml:space="preserve"> </w:t>
      </w:r>
      <w:r w:rsidR="2F11C559">
        <w:t>sector energético, concentrando capacidades financieras en FONENERGIA como instrumento articulador de soluciones energéticas integrales</w:t>
      </w:r>
      <w:r w:rsidR="234B72F3">
        <w:t xml:space="preserve">, </w:t>
      </w:r>
      <w:r w:rsidR="0E064B65">
        <w:t>con el fin de avanzar en la universalización del servicio de energía eléctrica a través de la</w:t>
      </w:r>
      <w:r w:rsidR="00402BF0">
        <w:t xml:space="preserve"> estructuración,</w:t>
      </w:r>
      <w:r w:rsidR="0E064B65">
        <w:t xml:space="preserve"> construcción, instalación de nueva infraestructura, mejoramiento, reposición, rehabilitación, repotenciación y disposición de la infraestructura eléctrica del territorio nacional, mediante soluciones asociadas a: </w:t>
      </w:r>
    </w:p>
    <w:p w:rsidR="000F1FAA" w:rsidP="00D97D31" w:rsidRDefault="0E064B65" w14:paraId="4472349F" w14:textId="29BDC9FD">
      <w:pPr>
        <w:spacing w:after="0"/>
        <w:jc w:val="both"/>
      </w:pPr>
      <w:r>
        <w:t xml:space="preserve"> </w:t>
      </w:r>
    </w:p>
    <w:p w:rsidR="000F1FAA" w:rsidP="00D97D31" w:rsidRDefault="00D061CF" w14:paraId="10A9C798" w14:textId="3546CA65">
      <w:pPr>
        <w:pStyle w:val="ListParagraph"/>
        <w:numPr>
          <w:ilvl w:val="0"/>
          <w:numId w:val="1"/>
        </w:numPr>
        <w:spacing w:after="0" w:line="276" w:lineRule="auto"/>
        <w:jc w:val="both"/>
      </w:pPr>
      <w:r>
        <w:t>C</w:t>
      </w:r>
      <w:r w:rsidR="0E064B65">
        <w:t>onexión al Sistema Interconectado Nacional</w:t>
      </w:r>
      <w:r w:rsidR="00C77821">
        <w:t xml:space="preserve"> –</w:t>
      </w:r>
      <w:r w:rsidR="0E064B65">
        <w:t xml:space="preserve"> SIN, de aquellas zonas no interconectadas donde sea viable dicho mecanismo, incluyendo medidas que permitan su sostenibilidad de largo plazo a través del cobro de la inversión</w:t>
      </w:r>
      <w:r>
        <w:t>.</w:t>
      </w:r>
    </w:p>
    <w:p w:rsidR="000F1FAA" w:rsidP="00D97D31" w:rsidRDefault="0E064B65" w14:paraId="1C685D5A" w14:textId="6F979888">
      <w:pPr>
        <w:pStyle w:val="ListParagraph"/>
        <w:numPr>
          <w:ilvl w:val="0"/>
          <w:numId w:val="1"/>
        </w:numPr>
        <w:spacing w:after="0" w:line="276" w:lineRule="auto"/>
        <w:jc w:val="both"/>
      </w:pPr>
      <w:r>
        <w:t xml:space="preserve">La mejora de las condiciones de calidad y prestación del servicio, mediante la modernización de redes, normalización de conexiones, y fortalecimiento de las capacidades operativas de los operadores de red en zonas urbanas, rurales e intermedias. </w:t>
      </w:r>
    </w:p>
    <w:p w:rsidR="000F1FAA" w:rsidP="00D97D31" w:rsidRDefault="0E064B65" w14:paraId="4A555C1D" w14:textId="2DBA5FA7">
      <w:pPr>
        <w:pStyle w:val="ListParagraph"/>
        <w:numPr>
          <w:ilvl w:val="0"/>
          <w:numId w:val="1"/>
        </w:numPr>
        <w:spacing w:after="0" w:line="276" w:lineRule="auto"/>
        <w:jc w:val="both"/>
      </w:pPr>
      <w:r>
        <w:t>El impulso adecuado a los Recursos Energéticos Distribuidos (</w:t>
      </w:r>
      <w:proofErr w:type="spellStart"/>
      <w:r>
        <w:t>REDs</w:t>
      </w:r>
      <w:proofErr w:type="spellEnd"/>
      <w:r>
        <w:t xml:space="preserve">), promoviendo la Generación Distribuida y la Autogeneración a Pequeña Escala, especialmente en territorios con limitaciones de infraestructura o alta vulnerabilidad socioeconómica.  </w:t>
      </w:r>
    </w:p>
    <w:p w:rsidR="000F1FAA" w:rsidP="00D97D31" w:rsidRDefault="000F1FAA" w14:paraId="5B077EC8" w14:textId="58D9196D">
      <w:pPr>
        <w:spacing w:after="0"/>
        <w:jc w:val="both"/>
      </w:pPr>
    </w:p>
    <w:p w:rsidR="0DD37344" w:rsidP="00D97D31" w:rsidRDefault="2676A249" w14:paraId="69A2B9D3" w14:textId="5DF0070E">
      <w:pPr>
        <w:spacing w:after="0"/>
        <w:jc w:val="both"/>
      </w:pPr>
      <w:r>
        <w:t>Ahora bien</w:t>
      </w:r>
      <w:r w:rsidR="7B50EEF5">
        <w:t xml:space="preserve">, se proyecta un traslado presupuestal entre los proyectos de inversión BPIN </w:t>
      </w:r>
      <w:r w:rsidRPr="0005135A" w:rsidR="0005135A">
        <w:t>202600000013949</w:t>
      </w:r>
      <w:r w:rsidR="256BDB2E">
        <w:t xml:space="preserve"> </w:t>
      </w:r>
      <w:r w:rsidRPr="0005135A" w:rsidR="7B50EEF5">
        <w:t>“Ampliación de la cobertura y normalización de redes en la prestación del servicio de energía eléctrica en el territorio nacional”</w:t>
      </w:r>
      <w:r w:rsidR="7B50EEF5">
        <w:t xml:space="preserve"> (proyecto crédito) y los proyectos BPIN 2022011000082 “</w:t>
      </w:r>
      <w:r w:rsidRPr="436281F8" w:rsidR="7B50EEF5">
        <w:rPr>
          <w:rFonts w:ascii="Calibri" w:hAnsi="Calibri" w:eastAsia="Calibri" w:cs="Calibri"/>
        </w:rPr>
        <w:t xml:space="preserve">Ampliación de la cobertura del servicio de energía eléctrica en las Zonas No Interconectadas – ZNI en el territorio Nacional” </w:t>
      </w:r>
      <w:r w:rsidR="7B50EEF5">
        <w:t>, BPIN 2018011001048 “</w:t>
      </w:r>
      <w:r w:rsidRPr="436281F8" w:rsidR="7B50EEF5">
        <w:rPr>
          <w:rFonts w:ascii="Calibri" w:hAnsi="Calibri" w:eastAsia="Calibri" w:cs="Calibri"/>
        </w:rPr>
        <w:t>Mejoramiento del servicio de energía eléctrica en las zonas rurales del territorio nacional</w:t>
      </w:r>
      <w:r w:rsidR="7B50EEF5">
        <w:t>” y BPIN 2018011001045 “</w:t>
      </w:r>
      <w:r w:rsidRPr="436281F8" w:rsidR="7B50EEF5">
        <w:rPr>
          <w:rFonts w:ascii="Calibri" w:hAnsi="Calibri" w:eastAsia="Calibri" w:cs="Calibri"/>
        </w:rPr>
        <w:t>Mejoramiento de la calidad y confiabilidad del servicio de energía eléctrica en los barrios subnormales ubicados en los municipios del sistema interconectado a nivel nacional</w:t>
      </w:r>
      <w:r w:rsidR="7B50EEF5">
        <w:t xml:space="preserve">” (proyectos </w:t>
      </w:r>
      <w:proofErr w:type="spellStart"/>
      <w:r w:rsidR="4FF3EFB6">
        <w:t>contra</w:t>
      </w:r>
      <w:r w:rsidR="7B50EEF5">
        <w:t>crédito</w:t>
      </w:r>
      <w:proofErr w:type="spellEnd"/>
      <w:r w:rsidR="7B50EEF5">
        <w:t>)</w:t>
      </w:r>
      <w:r w:rsidR="49B4BBC3">
        <w:t>,</w:t>
      </w:r>
      <w:r w:rsidR="0DD37344">
        <w:t xml:space="preserve"> proyectos </w:t>
      </w:r>
      <w:r w:rsidR="49B4BBC3">
        <w:t>que actualmente</w:t>
      </w:r>
      <w:r w:rsidR="0DD37344">
        <w:t xml:space="preserve"> presentan remanentes de recursos no comprometidos derivados de factores asociados a los tiempos de estructuración, priorización y </w:t>
      </w:r>
      <w:proofErr w:type="spellStart"/>
      <w:r w:rsidR="0DD37344">
        <w:t>viabilización</w:t>
      </w:r>
      <w:proofErr w:type="spellEnd"/>
      <w:r w:rsidR="0DD37344">
        <w:t xml:space="preserve"> de proyectos, así como a la dinámica propia de las convocatorias públicas y procesos técnicos requeridos para la asignación de recursos. Estas circunstancias generan limitaciones para comprometer la totalidad de las apropiaciones dentro de la vigencia fiscal. </w:t>
      </w:r>
    </w:p>
    <w:p w:rsidR="436281F8" w:rsidP="00D97D31" w:rsidRDefault="436281F8" w14:paraId="31CE138E" w14:textId="27258F18">
      <w:pPr>
        <w:spacing w:after="0"/>
        <w:jc w:val="both"/>
      </w:pPr>
    </w:p>
    <w:p w:rsidR="0DD37344" w:rsidP="00D97D31" w:rsidRDefault="0DD37344" w14:paraId="1E20DAF3" w14:textId="51DFD5A4">
      <w:pPr>
        <w:spacing w:after="0"/>
        <w:jc w:val="both"/>
      </w:pPr>
      <w:r>
        <w:t>Por su parte, FONENERGIA cuenta con un esquema operativo orientado a financiar soluciones energéticas integrales y proyectos estratégicos asociados a comunidades energéticas, eficiencia energética y Fuentes No Convencionales de Energía Renovable, permitiendo una ejecución articulada y alineada con las metas del Plan Nacional de Desarrollo.</w:t>
      </w:r>
    </w:p>
    <w:p w:rsidR="436281F8" w:rsidP="00D97D31" w:rsidRDefault="436281F8" w14:paraId="21BF251A" w14:textId="4DEBE750">
      <w:pPr>
        <w:spacing w:after="0"/>
        <w:jc w:val="both"/>
      </w:pPr>
    </w:p>
    <w:p w:rsidR="00D65809" w:rsidP="00D97D31" w:rsidRDefault="0DD37344" w14:paraId="3F781D0D" w14:textId="56E5EC4F">
      <w:pPr>
        <w:spacing w:after="0"/>
        <w:jc w:val="both"/>
      </w:pPr>
      <w:r w:rsidRPr="436281F8">
        <w:t xml:space="preserve">El traslado no altera la finalidad del gasto público ni modifica los objetivos sectoriales de los recursos, toda vez que estos continúan destinados al fortalecimiento del acceso y sostenibilidad energética en el país. Por el contrario, permite consolidar recursos en un instrumento con mayor flexibilidad operativa y capacidad de articulación </w:t>
      </w:r>
      <w:r w:rsidR="00276593">
        <w:t>institucional</w:t>
      </w:r>
      <w:r w:rsidR="33A1D0E1">
        <w:t>, ya que estos</w:t>
      </w:r>
      <w:r w:rsidR="00D65809">
        <w:t xml:space="preserve"> actúan de manera sinérgica dentro del mismo </w:t>
      </w:r>
      <w:r w:rsidR="57773C7D">
        <w:t>Fondo Único de Soluciones Energéticas</w:t>
      </w:r>
      <w:r w:rsidR="00D65809">
        <w:t>, de modo que el traslado permite sincronizar los recursos en este caso financieros hacia la estructura que actualmente presenta mayor necesidad.</w:t>
      </w:r>
    </w:p>
    <w:p w:rsidR="009B7161" w:rsidP="00D97D31" w:rsidRDefault="009B7161" w14:paraId="0BF655FF" w14:textId="77777777">
      <w:pPr>
        <w:spacing w:after="0"/>
        <w:jc w:val="both"/>
      </w:pPr>
    </w:p>
    <w:p w:rsidR="009B7161" w:rsidP="00D97D31" w:rsidRDefault="009B7161" w14:paraId="43FD932F" w14:textId="4138718A">
      <w:pPr>
        <w:spacing w:after="0"/>
        <w:jc w:val="both"/>
      </w:pPr>
      <w:r>
        <w:t>En el traslado presupuestal entre los proyectos se destacan varios aspectos técnicos clave que consolidan la eficiencia, coherencia y sostenibilidad del ajuste:​</w:t>
      </w:r>
    </w:p>
    <w:p w:rsidR="009B7161" w:rsidP="00D97D31" w:rsidRDefault="009B7161" w14:paraId="72043941" w14:textId="77777777">
      <w:pPr>
        <w:spacing w:after="0"/>
        <w:jc w:val="both"/>
      </w:pPr>
    </w:p>
    <w:p w:rsidR="009B7161" w:rsidP="00D97D31" w:rsidRDefault="009B7161" w14:paraId="271561E2" w14:textId="276F0CD7">
      <w:pPr>
        <w:pStyle w:val="ListParagraph"/>
        <w:numPr>
          <w:ilvl w:val="0"/>
          <w:numId w:val="23"/>
        </w:numPr>
        <w:spacing w:after="0" w:line="276" w:lineRule="auto"/>
        <w:jc w:val="both"/>
      </w:pPr>
      <w:r>
        <w:t xml:space="preserve">Metodología multicriterio y territorial: La priorización y viabilidad de los proyectos de </w:t>
      </w:r>
      <w:r w:rsidR="0828BD1E">
        <w:t>ampliación</w:t>
      </w:r>
      <w:r>
        <w:t xml:space="preserve"> de </w:t>
      </w:r>
      <w:r w:rsidR="0828BD1E">
        <w:t>cobertura y normalización de redes eléctricas</w:t>
      </w:r>
      <w:r>
        <w:t xml:space="preserve"> fue definida bajo criterios técnicos que consideran el impacto social, la cobertura, el acceso en zonas rurales y la capacidad logística para atender comunidades dispersas y </w:t>
      </w:r>
      <w:r w:rsidR="61AB2DA2">
        <w:t>aumentar</w:t>
      </w:r>
      <w:r>
        <w:t xml:space="preserve"> </w:t>
      </w:r>
      <w:r w:rsidR="61AB2DA2">
        <w:t xml:space="preserve">Índice de Cobertura de Energía Eléctrica (ICEE) determinado </w:t>
      </w:r>
      <w:proofErr w:type="spellStart"/>
      <w:r w:rsidR="61AB2DA2">
        <w:t>porla</w:t>
      </w:r>
      <w:proofErr w:type="spellEnd"/>
      <w:r w:rsidR="61AB2DA2">
        <w:t xml:space="preserve"> Unidad de Planeación </w:t>
      </w:r>
      <w:r w:rsidR="574ED12D">
        <w:t>Minero-Energética</w:t>
      </w:r>
      <w:r w:rsidR="61AB2DA2">
        <w:t xml:space="preserve"> (UPME</w:t>
      </w:r>
      <w:r w:rsidR="6FC425F9">
        <w:t>).</w:t>
      </w:r>
    </w:p>
    <w:p w:rsidR="00D65809" w:rsidP="00D97D31" w:rsidRDefault="4CA99FBD" w14:paraId="0B362CD5" w14:textId="77353E14">
      <w:pPr>
        <w:pStyle w:val="ListParagraph"/>
        <w:numPr>
          <w:ilvl w:val="0"/>
          <w:numId w:val="23"/>
        </w:numPr>
        <w:spacing w:after="0" w:line="276" w:lineRule="auto"/>
        <w:jc w:val="both"/>
      </w:pPr>
      <w:r>
        <w:t>Estrategia energética: Permite</w:t>
      </w:r>
      <w:r w:rsidR="5EAF6E74">
        <w:t xml:space="preserve"> la coordinación, articulación y focalización de recursos que </w:t>
      </w:r>
      <w:r w:rsidR="00813F99">
        <w:t>a</w:t>
      </w:r>
      <w:r w:rsidR="5EAF6E74">
        <w:t>celer</w:t>
      </w:r>
      <w:r w:rsidR="00813F99">
        <w:t>en</w:t>
      </w:r>
      <w:r w:rsidR="5EAF6E74">
        <w:t xml:space="preserve"> la ampliación de cobertura eléctrica, la normalización de redes y el mejoramiento de calidad del servicio, priorizando las comunidades y territorios más rezagados. El Fondo actúa como vehículo financiero y técnico que integra recursos nacionales, territoriales y de cooperación para maximizar el impacto social y operativo de la inversión pública en energía</w:t>
      </w:r>
      <w:r w:rsidR="1A2EBC64">
        <w:t>,</w:t>
      </w:r>
      <w:r w:rsidR="5EAF6E74">
        <w:t xml:space="preserve"> para responder directamente a las necesidades de la alta dirección del sector (MME), a las prioridades definidas por el DNP y el Plan Nacional de Desarrollo (PND), y a las solicitudes y requerimientos de gobernadores y alcaldes para intervención territorial focalizada. La gobernanza del Fondo incluye comités técnicos y de priorización que garantizan alineación estratégica con el PND, la Hoja de Ruta de la Transición Energética Justa (TEJ) y los objetivos sectoriales.  </w:t>
      </w:r>
    </w:p>
    <w:p w:rsidR="00D65809" w:rsidP="00D97D31" w:rsidRDefault="420E7DE9" w14:paraId="76D19B04" w14:textId="283BF0D9">
      <w:pPr>
        <w:pStyle w:val="ListParagraph"/>
        <w:numPr>
          <w:ilvl w:val="0"/>
          <w:numId w:val="23"/>
        </w:numPr>
        <w:spacing w:after="0" w:line="276" w:lineRule="auto"/>
        <w:jc w:val="both"/>
      </w:pPr>
      <w:r>
        <w:t xml:space="preserve">Articulación interinstitucional: </w:t>
      </w:r>
      <w:r w:rsidR="65C5B3DD">
        <w:t>La</w:t>
      </w:r>
      <w:r w:rsidR="5EAF6E74">
        <w:t xml:space="preserve"> articulación con entidades nacionales (DNP, MME, UPME, Ministerio de Ambiente), entes territoriales y operadores del sistema de distribución se formalizará mediante convenios y protocolos operativos que garanticen coherencia entre la planificación nacional (PND), la ejecución territorial y el seguimiento técnico-financiero. El objetivo es evitar duplicidades, maximizar apalancamiento y asegurar continuidad de inversiones públicas en infraestructura energética.  </w:t>
      </w:r>
    </w:p>
    <w:p w:rsidR="00D65809" w:rsidP="00D97D31" w:rsidRDefault="5EAF6E74" w14:paraId="72CB3126" w14:textId="38B74C05">
      <w:pPr>
        <w:pStyle w:val="ListParagraph"/>
        <w:numPr>
          <w:ilvl w:val="0"/>
          <w:numId w:val="23"/>
        </w:numPr>
        <w:spacing w:after="0" w:line="276" w:lineRule="auto"/>
        <w:jc w:val="both"/>
      </w:pPr>
      <w:r>
        <w:t>Sostenibilidad</w:t>
      </w:r>
      <w:r w:rsidR="68B615B9">
        <w:t xml:space="preserve">: Se </w:t>
      </w:r>
      <w:r>
        <w:t>impulsa</w:t>
      </w:r>
      <w:r w:rsidR="331A7A41">
        <w:t>n</w:t>
      </w:r>
      <w:r>
        <w:t xml:space="preserve"> esquemas de sostenibilidad al combinar recursos públicos (presupuestos del Estado, transferencias DNP/MME), aportes territoriales y fuentes complementarias (cooperación internacional, aportes del sector privado y mecanismos de apalancamiento financiero)</w:t>
      </w:r>
      <w:r w:rsidR="6D6BE743">
        <w:t>, dado que se</w:t>
      </w:r>
      <w:r>
        <w:t xml:space="preserve"> priorizará esquemas de cofinanciación que permitan multiplicar el efecto de los recursos públicos y asegurar la ejecución de proyectos técnicamente sostenibles y con modelos de operación claros</w:t>
      </w:r>
      <w:r w:rsidR="04C2891D">
        <w:t>.</w:t>
      </w:r>
      <w:r>
        <w:t xml:space="preserve"> Además, se establecerán indicadores de rendimiento financiero (KPI) y un marco de control y auditoría que garantice la eficiencia en el uso de recursos a mediano y largo plazo.  </w:t>
      </w:r>
      <w:r w:rsidR="10592130">
        <w:t>Aunado a ello, l</w:t>
      </w:r>
      <w:r>
        <w:t xml:space="preserve">os proyectos financiados por FONENERGÍA deberán incorporar esquemas de operación y mantenimiento (O&amp;M) garantizados, transferencia de capacidades locales y esquemas de corresponsabilidad con las comunidades, </w:t>
      </w:r>
      <w:r w:rsidR="4F24EB87">
        <w:t>donde l</w:t>
      </w:r>
      <w:r>
        <w:t>a sostenibilidad social se asegurará mediante procesos de participación territorial, inclusión de grupos prioritarios y cláusulas de formación y empleo local.</w:t>
      </w:r>
    </w:p>
    <w:p w:rsidR="00D65809" w:rsidP="00D97D31" w:rsidRDefault="5EAF6E74" w14:paraId="202B9F49" w14:textId="1130E0E7">
      <w:pPr>
        <w:pStyle w:val="ListParagraph"/>
        <w:numPr>
          <w:ilvl w:val="0"/>
          <w:numId w:val="23"/>
        </w:numPr>
        <w:spacing w:after="0" w:line="276" w:lineRule="auto"/>
        <w:jc w:val="both"/>
      </w:pPr>
      <w:r>
        <w:t>Transición Energética Justa</w:t>
      </w:r>
      <w:r w:rsidR="4D7F1510">
        <w:t xml:space="preserve">: </w:t>
      </w:r>
      <w:r>
        <w:t xml:space="preserve"> Se focalizarán, en mayor medida, soluciones energéticas que incorporen Fuentes No Convencionales de Energía Renovable (FNCER) en contextos rurales y periurbanos. Este énfasis permite simultáneamente ampliar cobertura y disminuir impactos ambientales asociados a combustibles fósiles. Todos los proyectos financiaros deberán someterse a un proceso de evaluación ambiental proporcional al riesgo, incluyendo medidas de protección de biodiversidad, gestión de suelos y agua, y protocolos para la gestión de residuos eléctricos y electrónicos.</w:t>
      </w:r>
    </w:p>
    <w:p w:rsidR="00D65809" w:rsidP="00D97D31" w:rsidRDefault="0F42AEDC" w14:paraId="76FDB2E4" w14:textId="40024D3C">
      <w:pPr>
        <w:pStyle w:val="ListParagraph"/>
        <w:numPr>
          <w:ilvl w:val="0"/>
          <w:numId w:val="24"/>
        </w:numPr>
        <w:spacing w:after="0" w:line="276" w:lineRule="auto"/>
        <w:jc w:val="both"/>
      </w:pPr>
      <w:r>
        <w:t xml:space="preserve">Flexibilidad financiera: </w:t>
      </w:r>
      <w:r w:rsidR="5EAF6E74">
        <w:t>La arquitectura financiera del Fondo contempla flexibilidad operacional para el uso de recursos destinados a: (i) ampliación de cobertura; (</w:t>
      </w:r>
      <w:proofErr w:type="spellStart"/>
      <w:r w:rsidR="5EAF6E74">
        <w:t>ii</w:t>
      </w:r>
      <w:proofErr w:type="spellEnd"/>
      <w:r w:rsidR="5EAF6E74">
        <w:t>) mejoramiento y normalización de redes; (</w:t>
      </w:r>
      <w:proofErr w:type="spellStart"/>
      <w:r w:rsidR="5EAF6E74">
        <w:t>iii</w:t>
      </w:r>
      <w:proofErr w:type="spellEnd"/>
      <w:r w:rsidR="5EAF6E74">
        <w:t>) implementación de soluciones off-</w:t>
      </w:r>
      <w:proofErr w:type="spellStart"/>
      <w:r w:rsidR="5EAF6E74">
        <w:t>grid</w:t>
      </w:r>
      <w:proofErr w:type="spellEnd"/>
      <w:r w:rsidR="5EAF6E74">
        <w:t xml:space="preserve"> y </w:t>
      </w:r>
      <w:proofErr w:type="spellStart"/>
      <w:r w:rsidR="5EAF6E74">
        <w:t>mini-redes</w:t>
      </w:r>
      <w:proofErr w:type="spellEnd"/>
      <w:r w:rsidR="5EAF6E74">
        <w:t>; y (</w:t>
      </w:r>
      <w:proofErr w:type="spellStart"/>
      <w:r w:rsidR="5EAF6E74">
        <w:t>iv</w:t>
      </w:r>
      <w:proofErr w:type="spellEnd"/>
      <w:r w:rsidR="5EAF6E74">
        <w:t xml:space="preserve">) acciones estratégicas (capacitación, acompañamiento social, estudios técnicos). Esta flexibilidad se articula mediante líneas programáticas y ventanas de financiamiento que permitan responder a necesidades distintas (proyectos de inversión, estudios </w:t>
      </w:r>
      <w:proofErr w:type="spellStart"/>
      <w:r w:rsidR="5EAF6E74">
        <w:t>pre-inversión</w:t>
      </w:r>
      <w:proofErr w:type="spellEnd"/>
      <w:r w:rsidR="5EAF6E74">
        <w:t xml:space="preserve">, O&amp;M y fortalecimiento institucional) sin comprometer la trazabilidad ni la rendición de cuentas. </w:t>
      </w:r>
    </w:p>
    <w:p w:rsidR="00D65809" w:rsidP="00D97D31" w:rsidRDefault="647488CF" w14:paraId="118BBBD7" w14:textId="75A2974E">
      <w:pPr>
        <w:pStyle w:val="ListParagraph"/>
        <w:numPr>
          <w:ilvl w:val="0"/>
          <w:numId w:val="24"/>
        </w:numPr>
        <w:spacing w:after="0" w:line="276" w:lineRule="auto"/>
        <w:jc w:val="both"/>
      </w:pPr>
      <w:r>
        <w:t>Legalidad</w:t>
      </w:r>
      <w:r w:rsidR="5EAF6E74">
        <w:t xml:space="preserve"> y </w:t>
      </w:r>
      <w:r>
        <w:t xml:space="preserve">fundamento constitucional: </w:t>
      </w:r>
      <w:r w:rsidR="5EAF6E74">
        <w:t xml:space="preserve">El proyecto reconoce los servicios públicos como esenciales y define el deber del Estado de asegurar su prestación eficiente y equitativa (artículo 365 de la Constitución Política). Por tanto, este proyecto responde al mandato legal de promover el acceso universal, la sostenibilidad ambiental y el progreso social a través de la energía. </w:t>
      </w:r>
    </w:p>
    <w:p w:rsidR="464BDACC" w:rsidP="00D97D31" w:rsidRDefault="5EAF6E74" w14:paraId="309F839C" w14:textId="57A088D2">
      <w:pPr>
        <w:spacing w:after="0"/>
        <w:jc w:val="both"/>
      </w:pPr>
      <w:r>
        <w:t xml:space="preserve"> </w:t>
      </w:r>
    </w:p>
    <w:p w:rsidR="00D65809" w:rsidP="00D97D31" w:rsidRDefault="00D65809" w14:paraId="77F4D0B9" w14:textId="20BA1267">
      <w:pPr>
        <w:spacing w:after="0"/>
        <w:jc w:val="both"/>
      </w:pPr>
      <w:r>
        <w:t xml:space="preserve">Esta reorientación de recursos contribuye a la sostenibilidad del programa y </w:t>
      </w:r>
      <w:r w:rsidR="6155EFF5">
        <w:t xml:space="preserve">al fortalecimiento de la ejecución de los proyectos. </w:t>
      </w:r>
    </w:p>
    <w:p w:rsidR="000F1FAA" w:rsidP="00D97D31" w:rsidRDefault="000F1FAA" w14:paraId="4433D9A9" w14:textId="77777777">
      <w:pPr>
        <w:spacing w:after="0"/>
        <w:jc w:val="both"/>
      </w:pPr>
    </w:p>
    <w:p w:rsidRPr="000F1FAA" w:rsidR="00FA18E8" w:rsidP="00D97D31" w:rsidRDefault="007F4844" w14:paraId="04BA25A3" w14:textId="70985D94">
      <w:pPr>
        <w:pStyle w:val="Heading2"/>
        <w:ind w:left="426"/>
      </w:pPr>
      <w:bookmarkStart w:name="_Toc230792108" w:id="3"/>
      <w:r>
        <w:t xml:space="preserve">1.2 </w:t>
      </w:r>
      <w:r w:rsidRPr="000F1FAA" w:rsidR="00E03187">
        <w:t>Aspectos legales</w:t>
      </w:r>
      <w:bookmarkEnd w:id="3"/>
    </w:p>
    <w:p w:rsidR="00E03187" w:rsidP="00D97D31" w:rsidRDefault="00E03187" w14:paraId="1C46607B" w14:textId="77777777">
      <w:pPr>
        <w:jc w:val="both"/>
      </w:pPr>
    </w:p>
    <w:p w:rsidR="00FA18E8" w:rsidP="00D97D31" w:rsidRDefault="00FA18E8" w14:paraId="74428E77" w14:textId="69DE9D53">
      <w:pPr>
        <w:jc w:val="both"/>
      </w:pPr>
      <w:r>
        <w:t>Este traslado cumple con el marco normativo establecido en el Decreto 412 de 2018, que regula las modificaciones presupuestales incluyendo traslados entre proyectos de inversión; la solicitud se realiza conforme a lo establecido en el artículo 8 del decreto que permite estos traslados con concepto favorable previo de la Dirección de Programación de Inversiones Públicas (DPIP) del DNP, garantizando la legalidad y transparencia del proceso, además de respetar la autonomía de cada proyecto en cuanto a su ejecución presupuestal.</w:t>
      </w:r>
    </w:p>
    <w:p w:rsidR="00FA18E8" w:rsidP="00D97D31" w:rsidRDefault="00FA18E8" w14:paraId="4146F7EE" w14:textId="77777777">
      <w:pPr>
        <w:jc w:val="both"/>
      </w:pPr>
      <w:r>
        <w:t>Las normas y artículos legales que respaldan el traslado presupuestal en Colombia, en particular para proyectos de inversión como los mencionados, son las siguientes:</w:t>
      </w:r>
    </w:p>
    <w:p w:rsidR="00FA18E8" w:rsidP="00D97D31" w:rsidRDefault="00FA18E8" w14:paraId="1BBF9187" w14:textId="794F4ED7">
      <w:pPr>
        <w:pStyle w:val="ListParagraph"/>
        <w:numPr>
          <w:ilvl w:val="0"/>
          <w:numId w:val="17"/>
        </w:numPr>
        <w:spacing w:line="276" w:lineRule="auto"/>
        <w:jc w:val="both"/>
      </w:pPr>
      <w:r w:rsidRPr="000379EC">
        <w:rPr>
          <w:b/>
          <w:bCs/>
        </w:rPr>
        <w:t>Decreto 412 de 2018:</w:t>
      </w:r>
      <w:r>
        <w:t xml:space="preserve"> Este es el marco normativo principal que regula las modificaciones presupuestales, incluyendo los traslados entre proyectos de inversión. En concreto, el Artículo 8 del decreto establece que el traslado presupuestal no modifica el anexo del decreto de liquidación del presupuesto en lo referente a cada sección presupuestal, ni afecta el monto total de las apropiaciones aprobadas por el Congreso. Además, el decreto señala la intervención y necesidad de concepto favorable previo de la Dirección de Programación de Inversiones Públicas (DPIP) del Departamento Nacional de Planeación (DNP) para realizar estos traslados. También regula la programación del presupuesto y ajustes con base en el Sistema Integrado de Información Financiera (SIIF).</w:t>
      </w:r>
    </w:p>
    <w:p w:rsidR="00FA18E8" w:rsidP="00D97D31" w:rsidRDefault="00FA18E8" w14:paraId="43BDE280" w14:textId="729075CE">
      <w:pPr>
        <w:pStyle w:val="ListParagraph"/>
        <w:numPr>
          <w:ilvl w:val="0"/>
          <w:numId w:val="17"/>
        </w:numPr>
        <w:spacing w:line="276" w:lineRule="auto"/>
        <w:jc w:val="both"/>
      </w:pPr>
      <w:r w:rsidRPr="00150C26">
        <w:rPr>
          <w:b/>
          <w:bCs/>
        </w:rPr>
        <w:t>Decreto 111 de 1996 (Estatuto Orgánico del Presupuesto):</w:t>
      </w:r>
      <w:r>
        <w:t xml:space="preserve"> Definir que los traslados presupuestales mediante </w:t>
      </w:r>
      <w:proofErr w:type="spellStart"/>
      <w:r>
        <w:t>contracréditos</w:t>
      </w:r>
      <w:proofErr w:type="spellEnd"/>
      <w:r>
        <w:t xml:space="preserve"> implican variar el destino del gasto entre diferentes secciones o rubros de la misma entidad, y que estos deben tramitarse en el marco de la legalidad del gasto y la participación del Congreso en modificaciones que alteren montos aprobados.</w:t>
      </w:r>
    </w:p>
    <w:p w:rsidR="00FA18E8" w:rsidP="00D97D31" w:rsidRDefault="00FA18E8" w14:paraId="3510F2F3" w14:textId="2B0448AA">
      <w:pPr>
        <w:pStyle w:val="ListParagraph"/>
        <w:numPr>
          <w:ilvl w:val="0"/>
          <w:numId w:val="17"/>
        </w:numPr>
        <w:spacing w:line="276" w:lineRule="auto"/>
        <w:jc w:val="both"/>
      </w:pPr>
      <w:r w:rsidRPr="002D4204">
        <w:rPr>
          <w:b/>
          <w:bCs/>
        </w:rPr>
        <w:t>Normas para trámites presupuestales:</w:t>
      </w:r>
      <w:r>
        <w:t xml:space="preserve"> Los traslados se hacen mediante resolución o acto administrativo, con la aprobación de la autoridad competente y concepto favorable de la DPIP del DNP y eventualmente otras instancias como la Secretaría Distrital de Hacienda en territorios específicos.</w:t>
      </w:r>
    </w:p>
    <w:p w:rsidR="00CE0635" w:rsidP="00D97D31" w:rsidRDefault="00CE0635" w14:paraId="45FE77BB" w14:textId="027E278A">
      <w:pPr>
        <w:pStyle w:val="ListParagraph"/>
        <w:numPr>
          <w:ilvl w:val="0"/>
          <w:numId w:val="17"/>
        </w:numPr>
        <w:spacing w:line="276" w:lineRule="auto"/>
        <w:jc w:val="both"/>
      </w:pPr>
      <w:r w:rsidRPr="00CE0635">
        <w:rPr>
          <w:b/>
          <w:bCs/>
        </w:rPr>
        <w:t>Ley 2099 de 2021:</w:t>
      </w:r>
      <w:r>
        <w:t xml:space="preserve"> El artículo 41</w:t>
      </w:r>
      <w:r w:rsidR="007857A3">
        <w:t xml:space="preserve"> de esta Ley</w:t>
      </w:r>
      <w:r>
        <w:t>, modificado</w:t>
      </w:r>
      <w:r w:rsidRPr="00224093">
        <w:t xml:space="preserve"> por </w:t>
      </w:r>
      <w:r>
        <w:t>el artículo 247</w:t>
      </w:r>
      <w:r w:rsidRPr="00224093">
        <w:t xml:space="preserve"> de </w:t>
      </w:r>
      <w:r>
        <w:t>la Ley 2294</w:t>
      </w:r>
      <w:r w:rsidRPr="00224093">
        <w:t xml:space="preserve"> de </w:t>
      </w:r>
      <w:r>
        <w:t>2023, creó el Fondo Único</w:t>
      </w:r>
      <w:r w:rsidRPr="00224093">
        <w:t xml:space="preserve"> de </w:t>
      </w:r>
      <w:r>
        <w:t xml:space="preserve">Soluciones Energéticas – </w:t>
      </w:r>
      <w:r>
        <w:rPr>
          <w:rStyle w:val="whitespace-normal"/>
        </w:rPr>
        <w:t>FONENERGÍA</w:t>
      </w:r>
      <w:r>
        <w:t>, como</w:t>
      </w:r>
      <w:r w:rsidRPr="00224093">
        <w:t xml:space="preserve"> un </w:t>
      </w:r>
      <w:r>
        <w:t>fondo cuenta administrado por</w:t>
      </w:r>
      <w:r w:rsidRPr="00224093">
        <w:t xml:space="preserve"> el </w:t>
      </w:r>
      <w:r>
        <w:t>Ministerio de Minas y Energía, con</w:t>
      </w:r>
      <w:r w:rsidRPr="00224093">
        <w:t xml:space="preserve"> el </w:t>
      </w:r>
      <w:r>
        <w:t>objeto de coordinar, articular y focalizar diferentes fuentes de recursos para financiar planes, programas y proyectos relacionados con</w:t>
      </w:r>
      <w:r w:rsidRPr="00224093">
        <w:t xml:space="preserve"> la </w:t>
      </w:r>
      <w:r>
        <w:t xml:space="preserve">expansión de cobertura energética, el mejoramiento de </w:t>
      </w:r>
      <w:r w:rsidRPr="00224093">
        <w:t xml:space="preserve">la </w:t>
      </w:r>
      <w:r>
        <w:t xml:space="preserve">calidad del servicio </w:t>
      </w:r>
      <w:r w:rsidRPr="00224093">
        <w:t xml:space="preserve">y la </w:t>
      </w:r>
      <w:r>
        <w:t>normalización de redes eléctricas y de gas combustible. Además, definió la constitución de los recursos de este fondo, siendo estos FAER, FAZNI, PRONE y FECFGN.</w:t>
      </w:r>
    </w:p>
    <w:p w:rsidR="007857A3" w:rsidP="00D97D31" w:rsidRDefault="007857A3" w14:paraId="1CF7BD89" w14:textId="0D62D791">
      <w:pPr>
        <w:pStyle w:val="ListParagraph"/>
        <w:numPr>
          <w:ilvl w:val="0"/>
          <w:numId w:val="17"/>
        </w:numPr>
        <w:spacing w:line="276" w:lineRule="auto"/>
        <w:jc w:val="both"/>
      </w:pPr>
      <w:r w:rsidRPr="007857A3">
        <w:rPr>
          <w:b/>
          <w:bCs/>
        </w:rPr>
        <w:t>Decreto 0375 de 2025:</w:t>
      </w:r>
      <w:r>
        <w:t xml:space="preserve"> El artículo 2.2.8.3.3.3.1 establece que </w:t>
      </w:r>
      <w:r>
        <w:rPr>
          <w:rStyle w:val="whitespace-normal"/>
        </w:rPr>
        <w:t>FONENERGÍA</w:t>
      </w:r>
      <w:r>
        <w:t xml:space="preserve"> adquiere los derechos y obligaciones derivados de los recursos asignados y ejecutados mediante los fondos FAER, FAZNI y PRONE.</w:t>
      </w:r>
    </w:p>
    <w:p w:rsidR="00B077FA" w:rsidP="00D97D31" w:rsidRDefault="00B077FA" w14:paraId="6735F607" w14:textId="5A32F87E">
      <w:pPr>
        <w:pStyle w:val="ListParagraph"/>
        <w:numPr>
          <w:ilvl w:val="0"/>
          <w:numId w:val="17"/>
        </w:numPr>
        <w:spacing w:line="276" w:lineRule="auto"/>
        <w:jc w:val="both"/>
      </w:pPr>
      <w:r>
        <w:rPr>
          <w:b/>
          <w:bCs/>
        </w:rPr>
        <w:t>Resolución</w:t>
      </w:r>
      <w:r w:rsidR="002D1AB7">
        <w:rPr>
          <w:b/>
          <w:bCs/>
        </w:rPr>
        <w:t xml:space="preserve"> 40233 de 2015:</w:t>
      </w:r>
      <w:r w:rsidR="002D1AB7">
        <w:t xml:space="preserve"> </w:t>
      </w:r>
      <w:r w:rsidR="008F4A52">
        <w:t xml:space="preserve">El </w:t>
      </w:r>
      <w:r w:rsidR="00222CFF">
        <w:t>a</w:t>
      </w:r>
      <w:r w:rsidRPr="001B7B48" w:rsidR="001B7B48">
        <w:t xml:space="preserve">rtículo </w:t>
      </w:r>
      <w:r w:rsidR="00222CFF">
        <w:t xml:space="preserve">1 establece la adopción del </w:t>
      </w:r>
      <w:r w:rsidRPr="001B7B48" w:rsidR="001B7B48">
        <w:t>Manual Operativo del Fondo Único de Soluciones Energéticas — FONENERGÍA, el cual se articulará y formará parte del Sistema Integrado de Gestión del Ministerio de Minas y Energía, en la versión actualizada</w:t>
      </w:r>
      <w:r w:rsidR="008F4A52">
        <w:t xml:space="preserve"> </w:t>
      </w:r>
      <w:r w:rsidRPr="008F4A52" w:rsidR="008F4A52">
        <w:t>y aprobada de acuerdo con los lineamientos para el Control de Documentos del Sistema.</w:t>
      </w:r>
    </w:p>
    <w:p w:rsidR="00C538D7" w:rsidP="00D97D31" w:rsidRDefault="00396592" w14:paraId="61F0ECA0" w14:textId="3A4A88AC">
      <w:pPr>
        <w:jc w:val="both"/>
      </w:pPr>
      <w:r>
        <w:t xml:space="preserve">Es así </w:t>
      </w:r>
      <w:proofErr w:type="gramStart"/>
      <w:r>
        <w:t>que</w:t>
      </w:r>
      <w:proofErr w:type="gramEnd"/>
      <w:r w:rsidR="00FA18E8">
        <w:t xml:space="preserve"> el traslado presupuestal entre proyectos de inversión está respaldado legalmente por el Decreto 412 de 2018, complementado por el Decreto 111 de 1996 en cuanto a mecanismos y legalidad del gasto, y los procedimientos administrativos para su trámite y aprobación con concepto favorable de la DPIP y otras autoridades competentes en cada nivel</w:t>
      </w:r>
      <w:r w:rsidR="006A3FF7">
        <w:t>.</w:t>
      </w:r>
      <w:r w:rsidR="000A013A">
        <w:t xml:space="preserve"> </w:t>
      </w:r>
      <w:r w:rsidR="00445951">
        <w:t>Además</w:t>
      </w:r>
      <w:r w:rsidR="004D5A9B">
        <w:t xml:space="preserve">, se encuentra sustentado en las disposiciones normativas que regulan la transición e implementación de </w:t>
      </w:r>
      <w:r w:rsidR="004D5A9B">
        <w:rPr>
          <w:rStyle w:val="whitespace-normal"/>
        </w:rPr>
        <w:t>FONENERGÍA</w:t>
      </w:r>
      <w:r w:rsidR="004D5A9B">
        <w:t>, así como en las competencias del Ministerio de Minas y Energía para administrar y reorganizar los recursos destinados a financiar soluciones energéticas en el territorio nacional.</w:t>
      </w:r>
    </w:p>
    <w:p w:rsidRPr="000F1FAA" w:rsidR="00FA18E8" w:rsidP="00D97D31" w:rsidRDefault="007F4844" w14:paraId="65E3D49F" w14:textId="5F65D709">
      <w:pPr>
        <w:pStyle w:val="Heading2"/>
        <w:spacing w:before="0"/>
        <w:ind w:left="426"/>
      </w:pPr>
      <w:bookmarkStart w:name="_Toc230792109" w:id="4"/>
      <w:r>
        <w:t xml:space="preserve">1.3 </w:t>
      </w:r>
      <w:r w:rsidRPr="000F1FAA" w:rsidR="00E03187">
        <w:t>Aspectos financieros</w:t>
      </w:r>
      <w:bookmarkEnd w:id="4"/>
    </w:p>
    <w:p w:rsidR="00EB13AE" w:rsidP="00D97D31" w:rsidRDefault="00EB13AE" w14:paraId="510E27C2" w14:textId="77777777">
      <w:pPr>
        <w:jc w:val="both"/>
        <w:rPr>
          <w:rFonts w:eastAsiaTheme="minorEastAsia"/>
        </w:rPr>
      </w:pPr>
    </w:p>
    <w:p w:rsidRPr="00245E8C" w:rsidR="00245E8C" w:rsidP="00D97D31" w:rsidRDefault="00245E8C" w14:paraId="4E8678A5" w14:textId="28CCBA27">
      <w:pPr>
        <w:jc w:val="both"/>
        <w:rPr>
          <w:rFonts w:eastAsiaTheme="minorEastAsia"/>
        </w:rPr>
      </w:pPr>
      <w:r w:rsidRPr="0D1C3FC7">
        <w:rPr>
          <w:rFonts w:eastAsiaTheme="minorEastAsia"/>
        </w:rPr>
        <w:t xml:space="preserve">Desde la perspectiva financiera, el traslado presupuestal propuesto permite optimizar el uso de los recursos disponibles y no comprometidos de los proyectos de inversión asociados al Fondo de Apoyo Financiero para la Energización de las Zonas No Interconectadas – FAZNI, el Fondo de Apoyo Financiero para la Energización de las Zonas Rurales Interconectadas – FAER y el Programa de Normalización de Redes Eléctricas – PRONE, </w:t>
      </w:r>
      <w:r w:rsidRPr="0D1C3FC7" w:rsidR="743A1D0B">
        <w:rPr>
          <w:rFonts w:eastAsiaTheme="minorEastAsia"/>
        </w:rPr>
        <w:t>reorientándolos al proyecto de FONENERGIA para la</w:t>
      </w:r>
      <w:r w:rsidRPr="0D1C3FC7">
        <w:rPr>
          <w:rFonts w:eastAsiaTheme="minorEastAsia"/>
        </w:rPr>
        <w:t xml:space="preserve"> estructuración, </w:t>
      </w:r>
      <w:proofErr w:type="spellStart"/>
      <w:r w:rsidRPr="0D1C3FC7">
        <w:rPr>
          <w:rFonts w:eastAsiaTheme="minorEastAsia"/>
        </w:rPr>
        <w:t>viabilización</w:t>
      </w:r>
      <w:proofErr w:type="spellEnd"/>
      <w:r w:rsidRPr="0D1C3FC7">
        <w:rPr>
          <w:rFonts w:eastAsiaTheme="minorEastAsia"/>
        </w:rPr>
        <w:t xml:space="preserve"> y contratación de proyectos.</w:t>
      </w:r>
    </w:p>
    <w:p w:rsidRPr="00245E8C" w:rsidR="00245E8C" w:rsidP="00D97D31" w:rsidRDefault="00245E8C" w14:paraId="04CC06EE" w14:textId="5C54AC98">
      <w:pPr>
        <w:jc w:val="both"/>
        <w:rPr>
          <w:rFonts w:eastAsiaTheme="minorEastAsia"/>
        </w:rPr>
      </w:pPr>
      <w:r w:rsidRPr="00245E8C">
        <w:rPr>
          <w:rFonts w:eastAsiaTheme="minorEastAsia"/>
        </w:rPr>
        <w:t>En este sentido, la reasignación de recursos hacia el proyecto de inversión de FONENERGÍA permite fortalecer la implementación del nuevo esquema institucional y financiero definido por el Gobierno Nacional, orientado a consolidar en un único instrumento la administración y ejecución de recursos destinados a la expansión de cobertura energética, el mejoramiento de la calidad del servicio y la normalización de redes eléctricas y de gas combustible.</w:t>
      </w:r>
    </w:p>
    <w:p w:rsidRPr="00245E8C" w:rsidR="00245E8C" w:rsidP="00D97D31" w:rsidRDefault="00245E8C" w14:paraId="0A90AC72" w14:textId="44775E67">
      <w:pPr>
        <w:jc w:val="both"/>
        <w:rPr>
          <w:rFonts w:eastAsiaTheme="minorEastAsia"/>
        </w:rPr>
      </w:pPr>
      <w:r w:rsidRPr="00245E8C">
        <w:rPr>
          <w:rFonts w:eastAsiaTheme="minorEastAsia"/>
        </w:rPr>
        <w:t>La medida propuesta contribuye a reducir la dispersión presupuestal y fortalece la capacidad de articulación sectorial del Ministerio de Minas y Energía, facilitando una gestión más eficiente e integral de las inversiones destinadas al cierre de brechas de acceso a la energía en zonas no interconectadas, zonas rurales interconectadas y barrios subnormales del país.</w:t>
      </w:r>
    </w:p>
    <w:p w:rsidRPr="00245E8C" w:rsidR="00245E8C" w:rsidP="00D97D31" w:rsidRDefault="00245E8C" w14:paraId="507FE246" w14:textId="0F5FC4A8">
      <w:pPr>
        <w:jc w:val="both"/>
        <w:rPr>
          <w:rFonts w:eastAsiaTheme="minorEastAsia"/>
        </w:rPr>
      </w:pPr>
      <w:r w:rsidRPr="00245E8C">
        <w:rPr>
          <w:rFonts w:eastAsiaTheme="minorEastAsia"/>
        </w:rPr>
        <w:t>Asimismo, el traslado garantiza la continuidad de los programas e iniciativas actualmente financiados con recursos FAZNI, FAER y PRONE, en concordancia con el régimen de transición establecido en el Decreto 0375 de 2025, asegurando la sostenibilidad operativa y financiera del nuevo modelo de financiación sectorial.</w:t>
      </w:r>
    </w:p>
    <w:p w:rsidR="00245E8C" w:rsidP="00D97D31" w:rsidRDefault="00245E8C" w14:paraId="1CBF0618" w14:textId="77777777">
      <w:pPr>
        <w:jc w:val="both"/>
        <w:rPr>
          <w:rFonts w:eastAsiaTheme="minorEastAsia"/>
        </w:rPr>
      </w:pPr>
      <w:r w:rsidRPr="00245E8C">
        <w:rPr>
          <w:rFonts w:eastAsiaTheme="minorEastAsia"/>
        </w:rPr>
        <w:t>La asignación de recursos bajo el esquema de FONENERGÍA responde a criterios de eficiencia, planeación y responsabilidad en la administración de los recursos públicos, permitiendo maximizar el impacto social de las inversiones y fortalecer la capacidad institucional para la ejecución de proyectos estratégicos de energización con enfoque territorial, en armonía con los objetivos de la Transición Energética Justa y las metas establecidas en el Plan Nacional de Desarrollo 2022–2026 “Colombia Potencia Mundial de la Vida”.</w:t>
      </w:r>
    </w:p>
    <w:p w:rsidR="0CD33FB7" w:rsidP="00D97D31" w:rsidRDefault="0CD33FB7" w14:paraId="1C5DB864" w14:textId="6DF16052">
      <w:pPr>
        <w:pStyle w:val="Heading1"/>
        <w:numPr>
          <w:ilvl w:val="0"/>
          <w:numId w:val="11"/>
        </w:numPr>
        <w:ind w:left="426"/>
      </w:pPr>
      <w:bookmarkStart w:name="_Toc230792110" w:id="5"/>
      <w:r w:rsidRPr="32BF21D2">
        <w:t>PROYECTOS DE INVERSIÓN CONTRACREDITADOS:</w:t>
      </w:r>
      <w:bookmarkEnd w:id="5"/>
    </w:p>
    <w:p w:rsidR="00EB13AE" w:rsidP="00D97D31" w:rsidRDefault="00EB13AE" w14:paraId="364CC6F9" w14:textId="77777777">
      <w:pPr>
        <w:pStyle w:val="ListParagraph"/>
        <w:spacing w:after="0" w:line="276" w:lineRule="auto"/>
        <w:ind w:left="1080"/>
        <w:jc w:val="both"/>
        <w:rPr>
          <w:rFonts w:eastAsiaTheme="minorEastAsia"/>
          <w:b/>
          <w:bCs/>
        </w:rPr>
      </w:pPr>
    </w:p>
    <w:p w:rsidR="00215E02" w:rsidP="00D97D31" w:rsidRDefault="00215E02" w14:paraId="37A7863A" w14:textId="2206E97A">
      <w:pPr>
        <w:pStyle w:val="Heading2"/>
        <w:numPr>
          <w:ilvl w:val="1"/>
          <w:numId w:val="11"/>
        </w:numPr>
        <w:rPr>
          <w:b w:val="0"/>
        </w:rPr>
      </w:pPr>
      <w:bookmarkStart w:name="_Toc230792111" w:id="6"/>
      <w:r w:rsidRPr="24DE18BC">
        <w:t>Ampliación de la cobertura del servicio de energía eléctrica en las Zonas No Interconectadas – ZNI en el territorio Nacional</w:t>
      </w:r>
      <w:bookmarkEnd w:id="6"/>
    </w:p>
    <w:p w:rsidRPr="00D22C82" w:rsidR="00215E02" w:rsidP="00D97D31" w:rsidRDefault="00215E02" w14:paraId="53A748C8" w14:textId="77777777">
      <w:pPr>
        <w:pStyle w:val="ListParagraph"/>
        <w:spacing w:after="0" w:line="276" w:lineRule="auto"/>
        <w:ind w:left="1080"/>
        <w:jc w:val="both"/>
        <w:rPr>
          <w:rFonts w:ascii="Calibri" w:hAnsi="Calibri" w:cs="Calibri"/>
          <w:b/>
          <w:bCs/>
        </w:rPr>
      </w:pPr>
    </w:p>
    <w:p w:rsidR="00215E02" w:rsidP="00D97D31" w:rsidRDefault="00215E02" w14:paraId="5AA5BFF8" w14:textId="77777777">
      <w:pPr>
        <w:spacing w:after="0"/>
        <w:jc w:val="both"/>
      </w:pPr>
      <w:r w:rsidRPr="006C7FF3">
        <w:t xml:space="preserve">El proyecto de inversión al cual corresponden los recursos objeto de traslado, denominado “Ampliación de la cobertura del servicio de energía eléctrica en las Zonas No Interconectadas – ZNI en el territorio </w:t>
      </w:r>
      <w:r>
        <w:t>N</w:t>
      </w:r>
      <w:r w:rsidRPr="006C7FF3">
        <w:t>acional”, identificado con BPIN 2022011000082 y asociado al Fondo de Apoyo Financiero para la Energización de las Zonas No Interconectadas – FAZNI, tiene como objetivo general contribuir al aumento de la cobertura y acceso al servicio de energía eléctrica en las Zonas No Interconectadas del país, mediante la financiación de planes, programas y proyectos de infraestructura energética dirigidos a mejorar las condiciones de prestación del servicio y la calidad de vida de las comunidades beneficiarias.</w:t>
      </w:r>
    </w:p>
    <w:p w:rsidR="00215E02" w:rsidP="00D97D31" w:rsidRDefault="00215E02" w14:paraId="23C26ECD" w14:textId="77777777">
      <w:pPr>
        <w:spacing w:after="0"/>
        <w:ind w:left="360"/>
        <w:jc w:val="both"/>
      </w:pPr>
    </w:p>
    <w:p w:rsidR="00215E02" w:rsidP="00D97D31" w:rsidRDefault="00215E02" w14:paraId="752182EA" w14:textId="77777777">
      <w:pPr>
        <w:spacing w:after="0"/>
        <w:jc w:val="both"/>
      </w:pPr>
      <w:r w:rsidRPr="00473ACE">
        <w:t>El proyecto se orienta principalmente a atender población ubicada en Zonas No Interconectadas – ZNI, caracterizadas por sus limitaciones en acceso a infraestructura eléctrica convencional, altos costos de prestación del servicio y condiciones geográficas de difícil acceso. En este contexto, el proyecto busca promover soluciones energéticas sostenibles que permitan ampliar la cobertura eléctrica en comunidades dispersas, territorios apartados, comunidades étnicas y zonas con altos índices de necesidades básicas insatisfechas.</w:t>
      </w:r>
    </w:p>
    <w:p w:rsidR="00215E02" w:rsidP="00D97D31" w:rsidRDefault="00215E02" w14:paraId="21A8400C" w14:textId="77777777">
      <w:pPr>
        <w:spacing w:after="0"/>
        <w:jc w:val="both"/>
      </w:pPr>
    </w:p>
    <w:p w:rsidR="00820A8E" w:rsidP="00D97D31" w:rsidRDefault="00215E02" w14:paraId="69444DE6" w14:textId="28B6B491">
      <w:pPr>
        <w:spacing w:after="0"/>
        <w:jc w:val="both"/>
      </w:pPr>
      <w:r>
        <w:t xml:space="preserve">Para el cumplimiento de sus objetivos, el proyecto contempla la financiación de iniciativas relacionadas con la implementación de soluciones individuales y comunitarias de generación mediante Fuentes No Convencionales de </w:t>
      </w:r>
      <w:r w:rsidR="009A4E47">
        <w:t>Energía</w:t>
      </w:r>
      <w:r>
        <w:t xml:space="preserve"> – FNCE contribuyendo al cierre de brechas de acceso al servicio público de energía.</w:t>
      </w:r>
    </w:p>
    <w:p w:rsidR="00820A8E" w:rsidP="00D97D31" w:rsidRDefault="00820A8E" w14:paraId="099201EF" w14:textId="77777777">
      <w:pPr>
        <w:spacing w:after="0"/>
        <w:jc w:val="both"/>
      </w:pPr>
    </w:p>
    <w:p w:rsidR="00820A8E" w:rsidP="00D97D31" w:rsidRDefault="00820A8E" w14:paraId="43397F1B" w14:textId="7C6D563B">
      <w:pPr>
        <w:spacing w:after="0"/>
        <w:jc w:val="both"/>
      </w:pPr>
      <w:r>
        <w:t>Los objetivos específicos formulados para este proyecto de inversión son:</w:t>
      </w:r>
    </w:p>
    <w:p w:rsidRPr="00493ED3" w:rsidR="00820A8E" w:rsidP="00D97D31" w:rsidRDefault="00820A8E" w14:paraId="0FCE02F5" w14:textId="77777777">
      <w:pPr>
        <w:numPr>
          <w:ilvl w:val="0"/>
          <w:numId w:val="25"/>
        </w:numPr>
        <w:suppressAutoHyphens w:val="0"/>
        <w:spacing w:before="100" w:beforeAutospacing="1" w:after="100" w:afterAutospacing="1"/>
        <w:jc w:val="both"/>
      </w:pPr>
      <w:r w:rsidRPr="00493ED3">
        <w:t xml:space="preserve">Incrementar la cobertura del servicio de energía eléctrica en las Zonas No Interconectadas. </w:t>
      </w:r>
    </w:p>
    <w:p w:rsidRPr="00493ED3" w:rsidR="00820A8E" w:rsidP="00D97D31" w:rsidRDefault="00820A8E" w14:paraId="6D5423CE" w14:textId="77777777">
      <w:pPr>
        <w:numPr>
          <w:ilvl w:val="0"/>
          <w:numId w:val="25"/>
        </w:numPr>
        <w:suppressAutoHyphens w:val="0"/>
        <w:spacing w:before="100" w:beforeAutospacing="1" w:after="100" w:afterAutospacing="1"/>
        <w:jc w:val="both"/>
      </w:pPr>
      <w:r w:rsidRPr="00493ED3">
        <w:t xml:space="preserve">Mejorar las condiciones de prestación y continuidad del servicio de energía eléctrica en comunidades rurales y dispersas. </w:t>
      </w:r>
    </w:p>
    <w:p w:rsidRPr="00493ED3" w:rsidR="00820A8E" w:rsidP="00D97D31" w:rsidRDefault="00820A8E" w14:paraId="4FEE7585" w14:textId="77777777">
      <w:pPr>
        <w:numPr>
          <w:ilvl w:val="0"/>
          <w:numId w:val="25"/>
        </w:numPr>
        <w:suppressAutoHyphens w:val="0"/>
        <w:spacing w:before="100" w:beforeAutospacing="1" w:after="100" w:afterAutospacing="1"/>
        <w:jc w:val="both"/>
      </w:pPr>
      <w:r w:rsidRPr="00493ED3">
        <w:t xml:space="preserve">Promover la implementación de soluciones energéticas sostenibles mediante el uso de Fuentes No Convencionales de Energía – FNCE. </w:t>
      </w:r>
    </w:p>
    <w:p w:rsidR="00820A8E" w:rsidP="00D97D31" w:rsidRDefault="00820A8E" w14:paraId="0A1F4783" w14:textId="77777777">
      <w:pPr>
        <w:numPr>
          <w:ilvl w:val="0"/>
          <w:numId w:val="25"/>
        </w:numPr>
        <w:spacing w:beforeAutospacing="1" w:after="0" w:afterAutospacing="1"/>
        <w:jc w:val="both"/>
      </w:pPr>
      <w:r w:rsidRPr="00493ED3">
        <w:t>Contribuir al cierre de brechas sociales y territoriales asociadas al acceso al servicio público de energía eléctrica.</w:t>
      </w:r>
    </w:p>
    <w:p w:rsidRPr="0037343F" w:rsidR="0037343F" w:rsidP="00D97D31" w:rsidRDefault="0037343F" w14:paraId="500D5A2E" w14:textId="34AEF247">
      <w:pPr>
        <w:pStyle w:val="ListParagraph"/>
        <w:spacing w:after="0" w:line="276" w:lineRule="auto"/>
        <w:jc w:val="center"/>
        <w:rPr>
          <w:rFonts w:ascii="Calibri" w:hAnsi="Calibri" w:cs="Calibri"/>
          <w:b/>
          <w:bCs/>
        </w:rPr>
      </w:pPr>
      <w:r w:rsidRPr="0037343F">
        <w:rPr>
          <w:rFonts w:ascii="Calibri" w:hAnsi="Calibri" w:cs="Calibri"/>
          <w:b/>
          <w:bCs/>
        </w:rPr>
        <w:t xml:space="preserve">Tabla </w:t>
      </w:r>
      <w:r>
        <w:rPr>
          <w:rFonts w:ascii="Calibri" w:hAnsi="Calibri" w:cs="Calibri"/>
          <w:b/>
          <w:bCs/>
        </w:rPr>
        <w:t>3</w:t>
      </w:r>
      <w:r w:rsidRPr="0037343F">
        <w:rPr>
          <w:rFonts w:ascii="Calibri" w:hAnsi="Calibri" w:cs="Calibri"/>
          <w:b/>
          <w:bCs/>
        </w:rPr>
        <w:t xml:space="preserve">. </w:t>
      </w:r>
      <w:r>
        <w:rPr>
          <w:rFonts w:ascii="Calibri" w:hAnsi="Calibri" w:cs="Calibri"/>
          <w:b/>
          <w:bCs/>
        </w:rPr>
        <w:t>Cadena de valor</w:t>
      </w:r>
    </w:p>
    <w:tbl>
      <w:tblPr>
        <w:tblW w:w="11127" w:type="dxa"/>
        <w:tblInd w:w="-861" w:type="dxa"/>
        <w:tblCellMar>
          <w:top w:w="15" w:type="dxa"/>
          <w:left w:w="70" w:type="dxa"/>
          <w:bottom w:w="15" w:type="dxa"/>
          <w:right w:w="70" w:type="dxa"/>
        </w:tblCellMar>
        <w:tblLook w:val="04A0" w:firstRow="1" w:lastRow="0" w:firstColumn="1" w:lastColumn="0" w:noHBand="0" w:noVBand="1"/>
      </w:tblPr>
      <w:tblGrid>
        <w:gridCol w:w="993"/>
        <w:gridCol w:w="1499"/>
        <w:gridCol w:w="851"/>
        <w:gridCol w:w="980"/>
        <w:gridCol w:w="980"/>
        <w:gridCol w:w="1340"/>
        <w:gridCol w:w="850"/>
        <w:gridCol w:w="915"/>
        <w:gridCol w:w="1233"/>
        <w:gridCol w:w="1418"/>
        <w:gridCol w:w="6"/>
        <w:gridCol w:w="62"/>
      </w:tblGrid>
      <w:tr w:rsidRPr="00EC6B8C" w:rsidR="008B72A4" w:rsidTr="00D877D0" w14:paraId="00C750B5" w14:textId="77777777">
        <w:trPr>
          <w:trHeight w:val="300"/>
        </w:trPr>
        <w:tc>
          <w:tcPr>
            <w:tcW w:w="993" w:type="dxa"/>
            <w:tcBorders>
              <w:top w:val="single" w:color="auto" w:sz="12" w:space="0"/>
              <w:left w:val="single" w:color="auto" w:sz="12" w:space="0"/>
              <w:bottom w:val="single" w:color="000000" w:sz="4" w:space="0"/>
              <w:right w:val="single" w:color="000000" w:sz="4" w:space="0"/>
            </w:tcBorders>
            <w:shd w:val="clear" w:color="000000" w:fill="D9E1F2"/>
            <w:noWrap/>
            <w:vAlign w:val="bottom"/>
            <w:hideMark/>
          </w:tcPr>
          <w:p w:rsidRPr="00EC6B8C" w:rsidR="00EC6B8C" w:rsidP="00D97D31" w:rsidRDefault="00EC6B8C" w14:paraId="6B8012A8" w14:textId="77777777">
            <w:pPr>
              <w:suppressAutoHyphens w:val="0"/>
              <w:spacing w:after="0"/>
              <w:rPr>
                <w:rFonts w:ascii="Calibri" w:hAnsi="Calibri" w:eastAsia="Times New Roman" w:cs="Calibri"/>
                <w:b/>
                <w:bCs/>
                <w:color w:val="000000"/>
                <w:sz w:val="16"/>
                <w:szCs w:val="16"/>
                <w:lang w:eastAsia="es-CO"/>
              </w:rPr>
            </w:pPr>
            <w:r w:rsidRPr="00EC6B8C">
              <w:rPr>
                <w:rFonts w:ascii="Calibri" w:hAnsi="Calibri" w:eastAsia="Times New Roman" w:cs="Calibri"/>
                <w:b/>
                <w:bCs/>
                <w:color w:val="000000"/>
                <w:sz w:val="16"/>
                <w:szCs w:val="16"/>
                <w:lang w:eastAsia="es-CO"/>
              </w:rPr>
              <w:t>Nombre</w:t>
            </w:r>
          </w:p>
        </w:tc>
        <w:tc>
          <w:tcPr>
            <w:tcW w:w="10134" w:type="dxa"/>
            <w:gridSpan w:val="11"/>
            <w:tcBorders>
              <w:top w:val="single" w:color="auto" w:sz="12" w:space="0"/>
              <w:left w:val="single" w:color="000000" w:sz="4" w:space="0"/>
              <w:bottom w:val="single" w:color="000000" w:sz="4" w:space="0"/>
              <w:right w:val="single" w:color="auto" w:sz="12" w:space="0"/>
            </w:tcBorders>
            <w:noWrap/>
            <w:vAlign w:val="bottom"/>
            <w:hideMark/>
          </w:tcPr>
          <w:p w:rsidRPr="00EC6B8C" w:rsidR="00EC6B8C" w:rsidP="00D97D31" w:rsidRDefault="00EC6B8C" w14:paraId="2B5897E1" w14:textId="77777777">
            <w:pPr>
              <w:suppressAutoHyphens w:val="0"/>
              <w:spacing w:after="0"/>
              <w:jc w:val="center"/>
              <w:rPr>
                <w:rFonts w:ascii="Calibri" w:hAnsi="Calibri" w:eastAsia="Times New Roman" w:cs="Calibri"/>
                <w:color w:val="000000"/>
                <w:sz w:val="16"/>
                <w:szCs w:val="16"/>
                <w:lang w:eastAsia="es-CO"/>
              </w:rPr>
            </w:pPr>
            <w:r w:rsidRPr="00EC6B8C">
              <w:rPr>
                <w:rFonts w:ascii="Calibri" w:hAnsi="Calibri" w:eastAsia="Times New Roman" w:cs="Calibri"/>
                <w:color w:val="000000"/>
                <w:sz w:val="16"/>
                <w:szCs w:val="16"/>
                <w:lang w:eastAsia="es-CO"/>
              </w:rPr>
              <w:t xml:space="preserve">Ampliación de la cobertura del servicio de energía eléctrica en las Zonas No Interconectadas – ZNI en el territorio Nacional </w:t>
            </w:r>
          </w:p>
        </w:tc>
      </w:tr>
      <w:tr w:rsidRPr="00EC6B8C" w:rsidR="008B72A4" w:rsidTr="00D877D0" w14:paraId="49FD7AAD" w14:textId="77777777">
        <w:trPr>
          <w:trHeight w:val="300"/>
        </w:trPr>
        <w:tc>
          <w:tcPr>
            <w:tcW w:w="993" w:type="dxa"/>
            <w:tcBorders>
              <w:top w:val="single" w:color="000000" w:sz="4" w:space="0"/>
              <w:left w:val="single" w:color="auto" w:sz="12" w:space="0"/>
              <w:bottom w:val="single" w:color="000000" w:sz="4" w:space="0"/>
              <w:right w:val="single" w:color="000000" w:sz="4" w:space="0"/>
            </w:tcBorders>
            <w:shd w:val="clear" w:color="000000" w:fill="D9E1F2"/>
            <w:noWrap/>
            <w:vAlign w:val="bottom"/>
            <w:hideMark/>
          </w:tcPr>
          <w:p w:rsidRPr="00EC6B8C" w:rsidR="00EC6B8C" w:rsidP="00D97D31" w:rsidRDefault="00EC6B8C" w14:paraId="796FEB8B" w14:textId="77777777">
            <w:pPr>
              <w:suppressAutoHyphens w:val="0"/>
              <w:spacing w:after="0"/>
              <w:rPr>
                <w:rFonts w:ascii="Calibri" w:hAnsi="Calibri" w:eastAsia="Times New Roman" w:cs="Calibri"/>
                <w:b/>
                <w:bCs/>
                <w:color w:val="000000"/>
                <w:sz w:val="16"/>
                <w:szCs w:val="16"/>
                <w:lang w:eastAsia="es-CO"/>
              </w:rPr>
            </w:pPr>
            <w:r w:rsidRPr="00EC6B8C">
              <w:rPr>
                <w:rFonts w:ascii="Calibri" w:hAnsi="Calibri" w:eastAsia="Times New Roman" w:cs="Calibri"/>
                <w:b/>
                <w:bCs/>
                <w:color w:val="000000"/>
                <w:sz w:val="16"/>
                <w:szCs w:val="16"/>
                <w:lang w:eastAsia="es-CO"/>
              </w:rPr>
              <w:t>Objetivo General</w:t>
            </w:r>
          </w:p>
        </w:tc>
        <w:tc>
          <w:tcPr>
            <w:tcW w:w="10134" w:type="dxa"/>
            <w:gridSpan w:val="11"/>
            <w:tcBorders>
              <w:top w:val="single" w:color="000000" w:sz="4" w:space="0"/>
              <w:left w:val="single" w:color="000000" w:sz="4" w:space="0"/>
              <w:bottom w:val="single" w:color="000000" w:sz="4" w:space="0"/>
              <w:right w:val="single" w:color="auto" w:sz="12" w:space="0"/>
            </w:tcBorders>
            <w:noWrap/>
            <w:vAlign w:val="bottom"/>
            <w:hideMark/>
          </w:tcPr>
          <w:p w:rsidRPr="00EC6B8C" w:rsidR="00EC6B8C" w:rsidP="00D97D31" w:rsidRDefault="00EC6B8C" w14:paraId="55AC31C0" w14:textId="77777777">
            <w:pPr>
              <w:suppressAutoHyphens w:val="0"/>
              <w:spacing w:after="0"/>
              <w:jc w:val="center"/>
              <w:rPr>
                <w:rFonts w:ascii="Calibri" w:hAnsi="Calibri" w:eastAsia="Times New Roman" w:cs="Calibri"/>
                <w:color w:val="000000"/>
                <w:sz w:val="16"/>
                <w:szCs w:val="16"/>
                <w:lang w:eastAsia="es-CO"/>
              </w:rPr>
            </w:pPr>
            <w:r w:rsidRPr="00EC6B8C">
              <w:rPr>
                <w:rFonts w:ascii="Calibri" w:hAnsi="Calibri" w:eastAsia="Times New Roman" w:cs="Calibri"/>
                <w:color w:val="000000"/>
                <w:sz w:val="16"/>
                <w:szCs w:val="16"/>
                <w:lang w:eastAsia="es-CO"/>
              </w:rPr>
              <w:t>AMPLIAR COBERTURA EN LA PRESTACIÓN DEL SERVICIO DE ENERGÍA ELÉCTRICA EN LAS ZONAS NO INTERCONTECTADAS</w:t>
            </w:r>
            <w:r w:rsidRPr="00EC6B8C">
              <w:rPr>
                <w:rFonts w:ascii="Calibri" w:hAnsi="Calibri" w:eastAsia="Times New Roman" w:cs="Calibri"/>
                <w:color w:val="000000"/>
                <w:sz w:val="16"/>
                <w:szCs w:val="16"/>
                <w:lang w:eastAsia="es-CO"/>
              </w:rPr>
              <w:br/>
            </w:r>
            <w:r w:rsidRPr="00EC6B8C">
              <w:rPr>
                <w:rFonts w:ascii="Calibri" w:hAnsi="Calibri" w:eastAsia="Times New Roman" w:cs="Calibri"/>
                <w:color w:val="000000"/>
                <w:sz w:val="16"/>
                <w:szCs w:val="16"/>
                <w:lang w:eastAsia="es-CO"/>
              </w:rPr>
              <w:t>DEL PAIS -ZNI</w:t>
            </w:r>
          </w:p>
        </w:tc>
      </w:tr>
      <w:tr w:rsidRPr="008B72A4" w:rsidR="00EC6B8C" w:rsidTr="00D877D0" w14:paraId="577D2BC8" w14:textId="77777777">
        <w:trPr>
          <w:gridAfter w:val="1"/>
          <w:wAfter w:w="62" w:type="dxa"/>
          <w:trHeight w:val="300"/>
        </w:trPr>
        <w:tc>
          <w:tcPr>
            <w:tcW w:w="993" w:type="dxa"/>
            <w:vMerge w:val="restart"/>
            <w:tcBorders>
              <w:top w:val="single" w:color="000000" w:sz="4" w:space="0"/>
              <w:left w:val="single" w:color="auto" w:sz="12" w:space="0"/>
              <w:bottom w:val="single" w:color="000000" w:sz="4" w:space="0"/>
              <w:right w:val="single" w:color="000000" w:sz="4" w:space="0"/>
            </w:tcBorders>
            <w:shd w:val="clear" w:color="000000" w:fill="D9E1F2"/>
            <w:vAlign w:val="center"/>
            <w:hideMark/>
          </w:tcPr>
          <w:p w:rsidRPr="00EC6B8C" w:rsidR="00EC6B8C" w:rsidP="00D97D31" w:rsidRDefault="00EC6B8C" w14:paraId="1C581637" w14:textId="77777777">
            <w:pPr>
              <w:suppressAutoHyphens w:val="0"/>
              <w:spacing w:after="0"/>
              <w:jc w:val="center"/>
              <w:rPr>
                <w:rFonts w:ascii="Calibri" w:hAnsi="Calibri" w:eastAsia="Times New Roman" w:cs="Calibri"/>
                <w:b/>
                <w:bCs/>
                <w:color w:val="000000"/>
                <w:sz w:val="16"/>
                <w:szCs w:val="16"/>
                <w:lang w:eastAsia="es-CO"/>
              </w:rPr>
            </w:pPr>
            <w:r w:rsidRPr="00EC6B8C">
              <w:rPr>
                <w:rFonts w:ascii="Calibri" w:hAnsi="Calibri" w:eastAsia="Times New Roman" w:cs="Calibri"/>
                <w:b/>
                <w:bCs/>
                <w:color w:val="000000"/>
                <w:sz w:val="16"/>
                <w:szCs w:val="16"/>
                <w:lang w:eastAsia="es-CO"/>
              </w:rPr>
              <w:t xml:space="preserve">Objetivos </w:t>
            </w:r>
            <w:proofErr w:type="spellStart"/>
            <w:r w:rsidRPr="00EC6B8C">
              <w:rPr>
                <w:rFonts w:ascii="Calibri" w:hAnsi="Calibri" w:eastAsia="Times New Roman" w:cs="Calibri"/>
                <w:b/>
                <w:bCs/>
                <w:color w:val="000000"/>
                <w:sz w:val="16"/>
                <w:szCs w:val="16"/>
                <w:lang w:eastAsia="es-CO"/>
              </w:rPr>
              <w:t>Especificos</w:t>
            </w:r>
            <w:proofErr w:type="spellEnd"/>
            <w:r w:rsidRPr="00EC6B8C">
              <w:rPr>
                <w:rFonts w:ascii="Calibri" w:hAnsi="Calibri" w:eastAsia="Times New Roman" w:cs="Calibri"/>
                <w:b/>
                <w:bCs/>
                <w:color w:val="000000"/>
                <w:sz w:val="16"/>
                <w:szCs w:val="16"/>
                <w:lang w:eastAsia="es-CO"/>
              </w:rPr>
              <w:t xml:space="preserve"> </w:t>
            </w:r>
          </w:p>
        </w:tc>
        <w:tc>
          <w:tcPr>
            <w:tcW w:w="1499" w:type="dxa"/>
            <w:vMerge w:val="restart"/>
            <w:tcBorders>
              <w:top w:val="single" w:color="000000" w:sz="4" w:space="0"/>
              <w:left w:val="single" w:color="000000" w:sz="4" w:space="0"/>
              <w:bottom w:val="single" w:color="000000" w:sz="4" w:space="0"/>
              <w:right w:val="single" w:color="000000" w:sz="4" w:space="0"/>
            </w:tcBorders>
            <w:shd w:val="clear" w:color="000000" w:fill="D9E1F2"/>
            <w:vAlign w:val="center"/>
            <w:hideMark/>
          </w:tcPr>
          <w:p w:rsidRPr="00EC6B8C" w:rsidR="00EC6B8C" w:rsidP="00D97D31" w:rsidRDefault="00EC6B8C" w14:paraId="7A590DE0" w14:textId="77777777">
            <w:pPr>
              <w:suppressAutoHyphens w:val="0"/>
              <w:spacing w:after="0"/>
              <w:jc w:val="center"/>
              <w:rPr>
                <w:rFonts w:ascii="Calibri" w:hAnsi="Calibri" w:eastAsia="Times New Roman" w:cs="Calibri"/>
                <w:b/>
                <w:bCs/>
                <w:color w:val="000000"/>
                <w:sz w:val="16"/>
                <w:szCs w:val="16"/>
                <w:lang w:eastAsia="es-CO"/>
              </w:rPr>
            </w:pPr>
            <w:r w:rsidRPr="00EC6B8C">
              <w:rPr>
                <w:rFonts w:ascii="Calibri" w:hAnsi="Calibri" w:eastAsia="Times New Roman" w:cs="Calibri"/>
                <w:b/>
                <w:bCs/>
                <w:color w:val="000000"/>
                <w:sz w:val="16"/>
                <w:szCs w:val="16"/>
                <w:lang w:eastAsia="es-CO"/>
              </w:rPr>
              <w:t>Producto</w:t>
            </w:r>
          </w:p>
        </w:tc>
        <w:tc>
          <w:tcPr>
            <w:tcW w:w="851" w:type="dxa"/>
            <w:vMerge w:val="restart"/>
            <w:tcBorders>
              <w:top w:val="single" w:color="000000" w:sz="4" w:space="0"/>
              <w:left w:val="single" w:color="000000" w:sz="4" w:space="0"/>
              <w:bottom w:val="single" w:color="000000" w:sz="4" w:space="0"/>
              <w:right w:val="single" w:color="000000" w:sz="4" w:space="0"/>
            </w:tcBorders>
            <w:shd w:val="clear" w:color="000000" w:fill="D9E1F2"/>
            <w:vAlign w:val="center"/>
            <w:hideMark/>
          </w:tcPr>
          <w:p w:rsidRPr="00EC6B8C" w:rsidR="00EC6B8C" w:rsidP="00D97D31" w:rsidRDefault="00EC6B8C" w14:paraId="457638AB" w14:textId="77777777">
            <w:pPr>
              <w:suppressAutoHyphens w:val="0"/>
              <w:spacing w:after="0"/>
              <w:jc w:val="center"/>
              <w:rPr>
                <w:rFonts w:ascii="Calibri" w:hAnsi="Calibri" w:eastAsia="Times New Roman" w:cs="Calibri"/>
                <w:b/>
                <w:bCs/>
                <w:color w:val="000000"/>
                <w:sz w:val="16"/>
                <w:szCs w:val="16"/>
                <w:lang w:eastAsia="es-CO"/>
              </w:rPr>
            </w:pPr>
            <w:r w:rsidRPr="00EC6B8C">
              <w:rPr>
                <w:rFonts w:ascii="Calibri" w:hAnsi="Calibri" w:eastAsia="Times New Roman" w:cs="Calibri"/>
                <w:b/>
                <w:bCs/>
                <w:color w:val="000000"/>
                <w:sz w:val="16"/>
                <w:szCs w:val="16"/>
                <w:lang w:eastAsia="es-CO"/>
              </w:rPr>
              <w:t>Unidad de Medida</w:t>
            </w:r>
          </w:p>
        </w:tc>
        <w:tc>
          <w:tcPr>
            <w:tcW w:w="1960" w:type="dxa"/>
            <w:gridSpan w:val="2"/>
            <w:tcBorders>
              <w:top w:val="single" w:color="000000" w:sz="4" w:space="0"/>
              <w:left w:val="single" w:color="000000" w:sz="4" w:space="0"/>
              <w:bottom w:val="single" w:color="000000" w:sz="4" w:space="0"/>
              <w:right w:val="nil"/>
            </w:tcBorders>
            <w:shd w:val="clear" w:color="000000" w:fill="D9E1F2"/>
            <w:vAlign w:val="center"/>
            <w:hideMark/>
          </w:tcPr>
          <w:p w:rsidRPr="00EC6B8C" w:rsidR="00EC6B8C" w:rsidP="00D97D31" w:rsidRDefault="00EC6B8C" w14:paraId="6368E058" w14:textId="77777777">
            <w:pPr>
              <w:suppressAutoHyphens w:val="0"/>
              <w:spacing w:after="0"/>
              <w:jc w:val="center"/>
              <w:rPr>
                <w:rFonts w:ascii="Calibri" w:hAnsi="Calibri" w:eastAsia="Times New Roman" w:cs="Calibri"/>
                <w:b/>
                <w:bCs/>
                <w:color w:val="000000"/>
                <w:sz w:val="16"/>
                <w:szCs w:val="16"/>
                <w:lang w:eastAsia="es-CO"/>
              </w:rPr>
            </w:pPr>
            <w:r w:rsidRPr="00EC6B8C">
              <w:rPr>
                <w:rFonts w:ascii="Calibri" w:hAnsi="Calibri" w:eastAsia="Times New Roman" w:cs="Calibri"/>
                <w:b/>
                <w:bCs/>
                <w:color w:val="000000"/>
                <w:sz w:val="16"/>
                <w:szCs w:val="16"/>
                <w:lang w:eastAsia="es-CO"/>
              </w:rPr>
              <w:t>Meta</w:t>
            </w:r>
          </w:p>
        </w:tc>
        <w:tc>
          <w:tcPr>
            <w:tcW w:w="1340" w:type="dxa"/>
            <w:vMerge w:val="restart"/>
            <w:tcBorders>
              <w:top w:val="single" w:color="000000" w:sz="4" w:space="0"/>
              <w:left w:val="single" w:color="000000" w:sz="4" w:space="0"/>
              <w:bottom w:val="single" w:color="000000" w:sz="4" w:space="0"/>
              <w:right w:val="single" w:color="000000" w:sz="4" w:space="0"/>
            </w:tcBorders>
            <w:shd w:val="clear" w:color="000000" w:fill="D9E1F2"/>
            <w:vAlign w:val="center"/>
            <w:hideMark/>
          </w:tcPr>
          <w:p w:rsidRPr="00EC6B8C" w:rsidR="00EC6B8C" w:rsidP="00D97D31" w:rsidRDefault="00EC6B8C" w14:paraId="49738335" w14:textId="77777777">
            <w:pPr>
              <w:suppressAutoHyphens w:val="0"/>
              <w:spacing w:after="0"/>
              <w:jc w:val="center"/>
              <w:rPr>
                <w:rFonts w:ascii="Calibri" w:hAnsi="Calibri" w:eastAsia="Times New Roman" w:cs="Calibri"/>
                <w:b/>
                <w:bCs/>
                <w:color w:val="000000"/>
                <w:sz w:val="16"/>
                <w:szCs w:val="16"/>
                <w:lang w:eastAsia="es-CO"/>
              </w:rPr>
            </w:pPr>
            <w:r w:rsidRPr="00EC6B8C">
              <w:rPr>
                <w:rFonts w:ascii="Calibri" w:hAnsi="Calibri" w:eastAsia="Times New Roman" w:cs="Calibri"/>
                <w:b/>
                <w:bCs/>
                <w:color w:val="000000"/>
                <w:sz w:val="16"/>
                <w:szCs w:val="16"/>
                <w:lang w:eastAsia="es-CO"/>
              </w:rPr>
              <w:t>Actividades</w:t>
            </w:r>
          </w:p>
        </w:tc>
        <w:tc>
          <w:tcPr>
            <w:tcW w:w="850" w:type="dxa"/>
            <w:vMerge w:val="restart"/>
            <w:tcBorders>
              <w:top w:val="single" w:color="000000" w:sz="4" w:space="0"/>
              <w:left w:val="single" w:color="000000" w:sz="4" w:space="0"/>
              <w:bottom w:val="single" w:color="000000" w:sz="4" w:space="0"/>
              <w:right w:val="single" w:color="000000" w:sz="4" w:space="0"/>
            </w:tcBorders>
            <w:shd w:val="clear" w:color="000000" w:fill="D9E1F2"/>
            <w:vAlign w:val="center"/>
            <w:hideMark/>
          </w:tcPr>
          <w:p w:rsidRPr="00EC6B8C" w:rsidR="00EC6B8C" w:rsidP="00D97D31" w:rsidRDefault="00EC6B8C" w14:paraId="6F7D7007" w14:textId="77777777">
            <w:pPr>
              <w:suppressAutoHyphens w:val="0"/>
              <w:spacing w:after="0"/>
              <w:jc w:val="center"/>
              <w:rPr>
                <w:rFonts w:ascii="Calibri" w:hAnsi="Calibri" w:eastAsia="Times New Roman" w:cs="Calibri"/>
                <w:b/>
                <w:bCs/>
                <w:color w:val="000000"/>
                <w:sz w:val="16"/>
                <w:szCs w:val="16"/>
                <w:lang w:eastAsia="es-CO"/>
              </w:rPr>
            </w:pPr>
            <w:r w:rsidRPr="00EC6B8C">
              <w:rPr>
                <w:rFonts w:ascii="Calibri" w:hAnsi="Calibri" w:eastAsia="Times New Roman" w:cs="Calibri"/>
                <w:b/>
                <w:bCs/>
                <w:color w:val="000000"/>
                <w:sz w:val="16"/>
                <w:szCs w:val="16"/>
                <w:lang w:eastAsia="es-CO"/>
              </w:rPr>
              <w:t xml:space="preserve">Etapa </w:t>
            </w:r>
          </w:p>
        </w:tc>
        <w:tc>
          <w:tcPr>
            <w:tcW w:w="915" w:type="dxa"/>
            <w:vMerge w:val="restart"/>
            <w:tcBorders>
              <w:top w:val="single" w:color="000000" w:sz="4" w:space="0"/>
              <w:left w:val="single" w:color="000000" w:sz="4" w:space="0"/>
              <w:bottom w:val="single" w:color="000000" w:sz="4" w:space="0"/>
              <w:right w:val="single" w:color="000000" w:sz="4" w:space="0"/>
            </w:tcBorders>
            <w:shd w:val="clear" w:color="000000" w:fill="D9E1F2"/>
            <w:vAlign w:val="center"/>
            <w:hideMark/>
          </w:tcPr>
          <w:p w:rsidRPr="00EC6B8C" w:rsidR="00EC6B8C" w:rsidP="00D97D31" w:rsidRDefault="00EC6B8C" w14:paraId="3A3FAC56" w14:textId="77777777">
            <w:pPr>
              <w:suppressAutoHyphens w:val="0"/>
              <w:spacing w:after="0"/>
              <w:jc w:val="center"/>
              <w:rPr>
                <w:rFonts w:ascii="Calibri" w:hAnsi="Calibri" w:eastAsia="Times New Roman" w:cs="Calibri"/>
                <w:b/>
                <w:bCs/>
                <w:color w:val="000000"/>
                <w:sz w:val="16"/>
                <w:szCs w:val="16"/>
                <w:lang w:eastAsia="es-CO"/>
              </w:rPr>
            </w:pPr>
            <w:r w:rsidRPr="00EC6B8C">
              <w:rPr>
                <w:rFonts w:ascii="Calibri" w:hAnsi="Calibri" w:eastAsia="Times New Roman" w:cs="Calibri"/>
                <w:b/>
                <w:bCs/>
                <w:color w:val="000000"/>
                <w:sz w:val="16"/>
                <w:szCs w:val="16"/>
                <w:lang w:eastAsia="es-CO"/>
              </w:rPr>
              <w:t>Ruta Crítica</w:t>
            </w:r>
          </w:p>
        </w:tc>
        <w:tc>
          <w:tcPr>
            <w:tcW w:w="2657" w:type="dxa"/>
            <w:gridSpan w:val="3"/>
            <w:tcBorders>
              <w:top w:val="single" w:color="000000" w:sz="4" w:space="0"/>
              <w:left w:val="single" w:color="000000" w:sz="4" w:space="0"/>
              <w:bottom w:val="single" w:color="000000" w:sz="4" w:space="0"/>
              <w:right w:val="single" w:color="auto" w:sz="12" w:space="0"/>
            </w:tcBorders>
            <w:shd w:val="clear" w:color="000000" w:fill="D9E1F2"/>
            <w:vAlign w:val="center"/>
            <w:hideMark/>
          </w:tcPr>
          <w:p w:rsidRPr="00EC6B8C" w:rsidR="00EC6B8C" w:rsidP="00D97D31" w:rsidRDefault="00EC6B8C" w14:paraId="37C33962" w14:textId="77777777">
            <w:pPr>
              <w:suppressAutoHyphens w:val="0"/>
              <w:spacing w:after="0"/>
              <w:jc w:val="center"/>
              <w:rPr>
                <w:rFonts w:ascii="Calibri" w:hAnsi="Calibri" w:eastAsia="Times New Roman" w:cs="Calibri"/>
                <w:b/>
                <w:bCs/>
                <w:color w:val="000000"/>
                <w:sz w:val="16"/>
                <w:szCs w:val="16"/>
                <w:lang w:eastAsia="es-CO"/>
              </w:rPr>
            </w:pPr>
            <w:r w:rsidRPr="00EC6B8C">
              <w:rPr>
                <w:rFonts w:ascii="Calibri" w:hAnsi="Calibri" w:eastAsia="Times New Roman" w:cs="Calibri"/>
                <w:b/>
                <w:bCs/>
                <w:color w:val="000000"/>
                <w:sz w:val="16"/>
                <w:szCs w:val="16"/>
                <w:lang w:eastAsia="es-CO"/>
              </w:rPr>
              <w:t>Afectación presupuestal</w:t>
            </w:r>
          </w:p>
        </w:tc>
      </w:tr>
      <w:tr w:rsidRPr="00EC6B8C" w:rsidR="008B72A4" w:rsidTr="00D877D0" w14:paraId="2F8954FE" w14:textId="77777777">
        <w:trPr>
          <w:gridAfter w:val="2"/>
          <w:wAfter w:w="68" w:type="dxa"/>
          <w:trHeight w:val="615"/>
        </w:trPr>
        <w:tc>
          <w:tcPr>
            <w:tcW w:w="993" w:type="dxa"/>
            <w:vMerge/>
            <w:tcBorders>
              <w:top w:val="single" w:color="000000" w:sz="4" w:space="0"/>
              <w:left w:val="single" w:color="auto" w:sz="12" w:space="0"/>
              <w:bottom w:val="single" w:color="000000" w:sz="4" w:space="0"/>
              <w:right w:val="single" w:color="000000" w:sz="4" w:space="0"/>
            </w:tcBorders>
            <w:vAlign w:val="center"/>
            <w:hideMark/>
          </w:tcPr>
          <w:p w:rsidRPr="00EC6B8C" w:rsidR="00EC6B8C" w:rsidP="00D97D31" w:rsidRDefault="00EC6B8C" w14:paraId="780586EC" w14:textId="77777777">
            <w:pPr>
              <w:suppressAutoHyphens w:val="0"/>
              <w:spacing w:after="0"/>
              <w:rPr>
                <w:rFonts w:ascii="Calibri" w:hAnsi="Calibri" w:eastAsia="Times New Roman" w:cs="Calibri"/>
                <w:b/>
                <w:bCs/>
                <w:color w:val="000000"/>
                <w:sz w:val="16"/>
                <w:szCs w:val="16"/>
                <w:lang w:eastAsia="es-CO"/>
              </w:rPr>
            </w:pPr>
          </w:p>
        </w:tc>
        <w:tc>
          <w:tcPr>
            <w:tcW w:w="1499" w:type="dxa"/>
            <w:vMerge/>
            <w:tcBorders>
              <w:top w:val="single" w:color="000000" w:sz="4" w:space="0"/>
              <w:left w:val="single" w:color="000000" w:sz="4" w:space="0"/>
              <w:bottom w:val="single" w:color="000000" w:sz="4" w:space="0"/>
              <w:right w:val="single" w:color="000000" w:sz="4" w:space="0"/>
            </w:tcBorders>
            <w:vAlign w:val="center"/>
            <w:hideMark/>
          </w:tcPr>
          <w:p w:rsidRPr="00EC6B8C" w:rsidR="00EC6B8C" w:rsidP="00D97D31" w:rsidRDefault="00EC6B8C" w14:paraId="071601D3" w14:textId="77777777">
            <w:pPr>
              <w:suppressAutoHyphens w:val="0"/>
              <w:spacing w:after="0"/>
              <w:rPr>
                <w:rFonts w:ascii="Calibri" w:hAnsi="Calibri" w:eastAsia="Times New Roman" w:cs="Calibri"/>
                <w:b/>
                <w:bCs/>
                <w:color w:val="000000"/>
                <w:sz w:val="16"/>
                <w:szCs w:val="16"/>
                <w:lang w:eastAsia="es-CO"/>
              </w:rPr>
            </w:pPr>
          </w:p>
        </w:tc>
        <w:tc>
          <w:tcPr>
            <w:tcW w:w="851" w:type="dxa"/>
            <w:vMerge/>
            <w:tcBorders>
              <w:top w:val="single" w:color="000000" w:sz="4" w:space="0"/>
              <w:left w:val="single" w:color="000000" w:sz="4" w:space="0"/>
              <w:bottom w:val="single" w:color="000000" w:sz="4" w:space="0"/>
              <w:right w:val="single" w:color="000000" w:sz="4" w:space="0"/>
            </w:tcBorders>
            <w:vAlign w:val="center"/>
            <w:hideMark/>
          </w:tcPr>
          <w:p w:rsidRPr="00EC6B8C" w:rsidR="00EC6B8C" w:rsidP="00D97D31" w:rsidRDefault="00EC6B8C" w14:paraId="7250B951" w14:textId="77777777">
            <w:pPr>
              <w:suppressAutoHyphens w:val="0"/>
              <w:spacing w:after="0"/>
              <w:rPr>
                <w:rFonts w:ascii="Calibri" w:hAnsi="Calibri" w:eastAsia="Times New Roman" w:cs="Calibri"/>
                <w:b/>
                <w:bCs/>
                <w:color w:val="000000"/>
                <w:sz w:val="16"/>
                <w:szCs w:val="16"/>
                <w:lang w:eastAsia="es-CO"/>
              </w:rPr>
            </w:pPr>
          </w:p>
        </w:tc>
        <w:tc>
          <w:tcPr>
            <w:tcW w:w="980" w:type="dxa"/>
            <w:tcBorders>
              <w:top w:val="single" w:color="000000" w:sz="4" w:space="0"/>
              <w:left w:val="single" w:color="000000" w:sz="4" w:space="0"/>
              <w:bottom w:val="single" w:color="000000" w:sz="4" w:space="0"/>
              <w:right w:val="single" w:color="000000" w:sz="4" w:space="0"/>
            </w:tcBorders>
            <w:shd w:val="clear" w:color="000000" w:fill="D9E1F2"/>
            <w:vAlign w:val="center"/>
            <w:hideMark/>
          </w:tcPr>
          <w:p w:rsidRPr="00EC6B8C" w:rsidR="00EC6B8C" w:rsidP="00D97D31" w:rsidRDefault="00EC6B8C" w14:paraId="1DE24513" w14:textId="77777777">
            <w:pPr>
              <w:suppressAutoHyphens w:val="0"/>
              <w:spacing w:after="0"/>
              <w:jc w:val="center"/>
              <w:rPr>
                <w:rFonts w:ascii="Calibri" w:hAnsi="Calibri" w:eastAsia="Times New Roman" w:cs="Calibri"/>
                <w:b/>
                <w:bCs/>
                <w:color w:val="000000"/>
                <w:sz w:val="16"/>
                <w:szCs w:val="16"/>
                <w:lang w:eastAsia="es-CO"/>
              </w:rPr>
            </w:pPr>
            <w:r w:rsidRPr="00EC6B8C">
              <w:rPr>
                <w:rFonts w:ascii="Calibri" w:hAnsi="Calibri" w:eastAsia="Times New Roman" w:cs="Calibri"/>
                <w:b/>
                <w:bCs/>
                <w:color w:val="000000"/>
                <w:sz w:val="16"/>
                <w:szCs w:val="16"/>
                <w:lang w:eastAsia="es-CO"/>
              </w:rPr>
              <w:t>En firme</w:t>
            </w:r>
          </w:p>
        </w:tc>
        <w:tc>
          <w:tcPr>
            <w:tcW w:w="980" w:type="dxa"/>
            <w:tcBorders>
              <w:top w:val="single" w:color="000000" w:sz="4" w:space="0"/>
              <w:left w:val="single" w:color="000000" w:sz="4" w:space="0"/>
              <w:bottom w:val="single" w:color="000000" w:sz="4" w:space="0"/>
              <w:right w:val="single" w:color="000000" w:sz="4" w:space="0"/>
            </w:tcBorders>
            <w:shd w:val="clear" w:color="000000" w:fill="D9E1F2"/>
            <w:vAlign w:val="center"/>
            <w:hideMark/>
          </w:tcPr>
          <w:p w:rsidRPr="00EC6B8C" w:rsidR="00EC6B8C" w:rsidP="00D97D31" w:rsidRDefault="00EC6B8C" w14:paraId="0C80AC11" w14:textId="77777777">
            <w:pPr>
              <w:suppressAutoHyphens w:val="0"/>
              <w:spacing w:after="0"/>
              <w:jc w:val="center"/>
              <w:rPr>
                <w:rFonts w:ascii="Calibri" w:hAnsi="Calibri" w:eastAsia="Times New Roman" w:cs="Calibri"/>
                <w:b/>
                <w:bCs/>
                <w:color w:val="000000"/>
                <w:sz w:val="16"/>
                <w:szCs w:val="16"/>
                <w:lang w:eastAsia="es-CO"/>
              </w:rPr>
            </w:pPr>
            <w:r w:rsidRPr="00EC6B8C">
              <w:rPr>
                <w:rFonts w:ascii="Calibri" w:hAnsi="Calibri" w:eastAsia="Times New Roman" w:cs="Calibri"/>
                <w:b/>
                <w:bCs/>
                <w:color w:val="000000"/>
                <w:sz w:val="16"/>
                <w:szCs w:val="16"/>
                <w:lang w:eastAsia="es-CO"/>
              </w:rPr>
              <w:t>Ajustada</w:t>
            </w:r>
          </w:p>
        </w:tc>
        <w:tc>
          <w:tcPr>
            <w:tcW w:w="1340" w:type="dxa"/>
            <w:vMerge/>
            <w:tcBorders>
              <w:top w:val="single" w:color="000000" w:sz="4" w:space="0"/>
              <w:left w:val="single" w:color="000000" w:sz="4" w:space="0"/>
              <w:bottom w:val="single" w:color="000000" w:sz="4" w:space="0"/>
              <w:right w:val="single" w:color="000000" w:sz="4" w:space="0"/>
            </w:tcBorders>
            <w:vAlign w:val="center"/>
            <w:hideMark/>
          </w:tcPr>
          <w:p w:rsidRPr="00EC6B8C" w:rsidR="00EC6B8C" w:rsidP="00D97D31" w:rsidRDefault="00EC6B8C" w14:paraId="3F55CA90" w14:textId="77777777">
            <w:pPr>
              <w:suppressAutoHyphens w:val="0"/>
              <w:spacing w:after="0"/>
              <w:rPr>
                <w:rFonts w:ascii="Calibri" w:hAnsi="Calibri" w:eastAsia="Times New Roman" w:cs="Calibri"/>
                <w:b/>
                <w:bCs/>
                <w:color w:val="000000"/>
                <w:sz w:val="16"/>
                <w:szCs w:val="16"/>
                <w:lang w:eastAsia="es-CO"/>
              </w:rPr>
            </w:pPr>
          </w:p>
        </w:tc>
        <w:tc>
          <w:tcPr>
            <w:tcW w:w="850" w:type="dxa"/>
            <w:vMerge/>
            <w:tcBorders>
              <w:top w:val="single" w:color="000000" w:sz="4" w:space="0"/>
              <w:left w:val="single" w:color="000000" w:sz="4" w:space="0"/>
              <w:bottom w:val="single" w:color="000000" w:sz="4" w:space="0"/>
              <w:right w:val="single" w:color="000000" w:sz="4" w:space="0"/>
            </w:tcBorders>
            <w:vAlign w:val="center"/>
            <w:hideMark/>
          </w:tcPr>
          <w:p w:rsidRPr="00EC6B8C" w:rsidR="00EC6B8C" w:rsidP="00D97D31" w:rsidRDefault="00EC6B8C" w14:paraId="5948CD9A" w14:textId="77777777">
            <w:pPr>
              <w:suppressAutoHyphens w:val="0"/>
              <w:spacing w:after="0"/>
              <w:rPr>
                <w:rFonts w:ascii="Calibri" w:hAnsi="Calibri" w:eastAsia="Times New Roman" w:cs="Calibri"/>
                <w:b/>
                <w:bCs/>
                <w:color w:val="000000"/>
                <w:sz w:val="16"/>
                <w:szCs w:val="16"/>
                <w:lang w:eastAsia="es-CO"/>
              </w:rPr>
            </w:pPr>
          </w:p>
        </w:tc>
        <w:tc>
          <w:tcPr>
            <w:tcW w:w="915" w:type="dxa"/>
            <w:vMerge/>
            <w:tcBorders>
              <w:top w:val="single" w:color="000000" w:sz="4" w:space="0"/>
              <w:left w:val="single" w:color="000000" w:sz="4" w:space="0"/>
              <w:bottom w:val="single" w:color="000000" w:sz="4" w:space="0"/>
              <w:right w:val="single" w:color="000000" w:sz="4" w:space="0"/>
            </w:tcBorders>
            <w:vAlign w:val="center"/>
            <w:hideMark/>
          </w:tcPr>
          <w:p w:rsidRPr="00EC6B8C" w:rsidR="00EC6B8C" w:rsidP="00D97D31" w:rsidRDefault="00EC6B8C" w14:paraId="59047E3C" w14:textId="77777777">
            <w:pPr>
              <w:suppressAutoHyphens w:val="0"/>
              <w:spacing w:after="0"/>
              <w:rPr>
                <w:rFonts w:ascii="Calibri" w:hAnsi="Calibri" w:eastAsia="Times New Roman" w:cs="Calibri"/>
                <w:b/>
                <w:bCs/>
                <w:color w:val="000000"/>
                <w:sz w:val="16"/>
                <w:szCs w:val="16"/>
                <w:lang w:eastAsia="es-CO"/>
              </w:rPr>
            </w:pPr>
          </w:p>
        </w:tc>
        <w:tc>
          <w:tcPr>
            <w:tcW w:w="1233" w:type="dxa"/>
            <w:tcBorders>
              <w:top w:val="single" w:color="000000" w:sz="4" w:space="0"/>
              <w:left w:val="single" w:color="000000" w:sz="4" w:space="0"/>
              <w:bottom w:val="single" w:color="000000" w:sz="4" w:space="0"/>
              <w:right w:val="single" w:color="000000" w:sz="4" w:space="0"/>
            </w:tcBorders>
            <w:shd w:val="clear" w:color="000000" w:fill="D9E1F2"/>
            <w:vAlign w:val="center"/>
            <w:hideMark/>
          </w:tcPr>
          <w:p w:rsidRPr="00EC6B8C" w:rsidR="00EC6B8C" w:rsidP="00D97D31" w:rsidRDefault="00EC6B8C" w14:paraId="1C6BB637" w14:textId="77777777">
            <w:pPr>
              <w:suppressAutoHyphens w:val="0"/>
              <w:spacing w:after="0"/>
              <w:jc w:val="center"/>
              <w:rPr>
                <w:rFonts w:ascii="Calibri" w:hAnsi="Calibri" w:eastAsia="Times New Roman" w:cs="Calibri"/>
                <w:b/>
                <w:bCs/>
                <w:color w:val="000000"/>
                <w:sz w:val="16"/>
                <w:szCs w:val="16"/>
                <w:lang w:eastAsia="es-CO"/>
              </w:rPr>
            </w:pPr>
            <w:r w:rsidRPr="00EC6B8C">
              <w:rPr>
                <w:rFonts w:ascii="Calibri" w:hAnsi="Calibri" w:eastAsia="Times New Roman" w:cs="Calibri"/>
                <w:b/>
                <w:bCs/>
                <w:color w:val="000000"/>
                <w:sz w:val="16"/>
                <w:szCs w:val="16"/>
                <w:lang w:eastAsia="es-CO"/>
              </w:rPr>
              <w:t>Apropiación Vigente</w:t>
            </w:r>
          </w:p>
        </w:tc>
        <w:tc>
          <w:tcPr>
            <w:tcW w:w="1418" w:type="dxa"/>
            <w:tcBorders>
              <w:top w:val="single" w:color="000000" w:sz="4" w:space="0"/>
              <w:left w:val="single" w:color="000000" w:sz="4" w:space="0"/>
              <w:bottom w:val="single" w:color="000000" w:sz="4" w:space="0"/>
              <w:right w:val="single" w:color="auto" w:sz="12" w:space="0"/>
            </w:tcBorders>
            <w:shd w:val="clear" w:color="000000" w:fill="D9E1F2"/>
            <w:vAlign w:val="center"/>
            <w:hideMark/>
          </w:tcPr>
          <w:p w:rsidRPr="00EC6B8C" w:rsidR="00EC6B8C" w:rsidP="00D97D31" w:rsidRDefault="00EC6B8C" w14:paraId="6B3A1D77" w14:textId="77777777">
            <w:pPr>
              <w:suppressAutoHyphens w:val="0"/>
              <w:spacing w:after="0"/>
              <w:jc w:val="center"/>
              <w:rPr>
                <w:rFonts w:ascii="Calibri" w:hAnsi="Calibri" w:eastAsia="Times New Roman" w:cs="Calibri"/>
                <w:b/>
                <w:bCs/>
                <w:color w:val="000000"/>
                <w:sz w:val="16"/>
                <w:szCs w:val="16"/>
                <w:lang w:eastAsia="es-CO"/>
              </w:rPr>
            </w:pPr>
            <w:r w:rsidRPr="00EC6B8C">
              <w:rPr>
                <w:rFonts w:ascii="Calibri" w:hAnsi="Calibri" w:eastAsia="Times New Roman" w:cs="Calibri"/>
                <w:b/>
                <w:bCs/>
                <w:color w:val="000000"/>
                <w:sz w:val="16"/>
                <w:szCs w:val="16"/>
                <w:lang w:eastAsia="es-CO"/>
              </w:rPr>
              <w:t>Recurso disponible 2026</w:t>
            </w:r>
          </w:p>
        </w:tc>
      </w:tr>
      <w:tr w:rsidRPr="00EC6B8C" w:rsidR="008B72A4" w:rsidTr="00D877D0" w14:paraId="15E90681" w14:textId="77777777">
        <w:trPr>
          <w:gridAfter w:val="2"/>
          <w:wAfter w:w="68" w:type="dxa"/>
          <w:trHeight w:val="2130"/>
        </w:trPr>
        <w:tc>
          <w:tcPr>
            <w:tcW w:w="993" w:type="dxa"/>
            <w:vMerge w:val="restart"/>
            <w:tcBorders>
              <w:top w:val="single" w:color="000000" w:sz="4" w:space="0"/>
              <w:left w:val="single" w:color="auto" w:sz="12" w:space="0"/>
              <w:bottom w:val="nil"/>
              <w:right w:val="single" w:color="000000" w:sz="4" w:space="0"/>
            </w:tcBorders>
            <w:vAlign w:val="center"/>
            <w:hideMark/>
          </w:tcPr>
          <w:p w:rsidRPr="00EC6B8C" w:rsidR="00EC6B8C" w:rsidP="00D97D31" w:rsidRDefault="00EC6B8C" w14:paraId="428E6A5E" w14:textId="77777777">
            <w:pPr>
              <w:suppressAutoHyphens w:val="0"/>
              <w:spacing w:after="0"/>
              <w:rPr>
                <w:rFonts w:ascii="Calibri" w:hAnsi="Calibri" w:eastAsia="Times New Roman" w:cs="Calibri"/>
                <w:color w:val="000000"/>
                <w:sz w:val="16"/>
                <w:szCs w:val="16"/>
                <w:lang w:eastAsia="es-CO"/>
              </w:rPr>
            </w:pPr>
            <w:r w:rsidRPr="00EC6B8C">
              <w:rPr>
                <w:rFonts w:ascii="Calibri" w:hAnsi="Calibri" w:eastAsia="Times New Roman" w:cs="Calibri"/>
                <w:color w:val="000000"/>
                <w:sz w:val="16"/>
                <w:szCs w:val="16"/>
                <w:lang w:eastAsia="es-CO"/>
              </w:rPr>
              <w:t>INCREMENTAR LA CAPACIDAD DE LA INFRAESTRUCTURA FRENTE AL INCREMENTO DE LA DEMANDA</w:t>
            </w:r>
            <w:r w:rsidRPr="00EC6B8C">
              <w:rPr>
                <w:rFonts w:ascii="Calibri" w:hAnsi="Calibri" w:eastAsia="Times New Roman" w:cs="Calibri"/>
                <w:color w:val="000000"/>
                <w:sz w:val="16"/>
                <w:szCs w:val="16"/>
                <w:lang w:eastAsia="es-CO"/>
              </w:rPr>
              <w:br/>
            </w:r>
            <w:r w:rsidRPr="00EC6B8C">
              <w:rPr>
                <w:rFonts w:ascii="Calibri" w:hAnsi="Calibri" w:eastAsia="Times New Roman" w:cs="Calibri"/>
                <w:color w:val="000000"/>
                <w:sz w:val="16"/>
                <w:szCs w:val="16"/>
                <w:lang w:eastAsia="es-CO"/>
              </w:rPr>
              <w:t>DEL SERVICIO DE ENERGÍA ELÉCTRICA</w:t>
            </w:r>
          </w:p>
        </w:tc>
        <w:tc>
          <w:tcPr>
            <w:tcW w:w="1499" w:type="dxa"/>
            <w:vMerge w:val="restart"/>
            <w:tcBorders>
              <w:top w:val="single" w:color="000000" w:sz="4" w:space="0"/>
              <w:left w:val="single" w:color="000000" w:sz="4" w:space="0"/>
              <w:bottom w:val="nil"/>
              <w:right w:val="single" w:color="000000" w:sz="4" w:space="0"/>
            </w:tcBorders>
            <w:vAlign w:val="center"/>
            <w:hideMark/>
          </w:tcPr>
          <w:p w:rsidRPr="00EC6B8C" w:rsidR="00EC6B8C" w:rsidP="00D97D31" w:rsidRDefault="00EC6B8C" w14:paraId="6C9366AC" w14:textId="77777777">
            <w:pPr>
              <w:suppressAutoHyphens w:val="0"/>
              <w:spacing w:after="0"/>
              <w:rPr>
                <w:rFonts w:ascii="Calibri" w:hAnsi="Calibri" w:eastAsia="Times New Roman" w:cs="Calibri"/>
                <w:color w:val="000000"/>
                <w:sz w:val="16"/>
                <w:szCs w:val="16"/>
                <w:lang w:eastAsia="es-CO"/>
              </w:rPr>
            </w:pPr>
            <w:r w:rsidRPr="00EC6B8C">
              <w:rPr>
                <w:rFonts w:ascii="Calibri" w:hAnsi="Calibri" w:eastAsia="Times New Roman" w:cs="Calibri"/>
                <w:color w:val="000000"/>
                <w:sz w:val="16"/>
                <w:szCs w:val="16"/>
                <w:lang w:eastAsia="es-CO"/>
              </w:rPr>
              <w:t>1.1 Servicio de apoyo financiero para la financiación de infraestructura de</w:t>
            </w:r>
            <w:r w:rsidRPr="00EC6B8C">
              <w:rPr>
                <w:rFonts w:ascii="Calibri" w:hAnsi="Calibri" w:eastAsia="Times New Roman" w:cs="Calibri"/>
                <w:color w:val="000000"/>
                <w:sz w:val="16"/>
                <w:szCs w:val="16"/>
                <w:lang w:eastAsia="es-CO"/>
              </w:rPr>
              <w:br/>
            </w:r>
            <w:r w:rsidRPr="00EC6B8C">
              <w:rPr>
                <w:rFonts w:ascii="Calibri" w:hAnsi="Calibri" w:eastAsia="Times New Roman" w:cs="Calibri"/>
                <w:color w:val="000000"/>
                <w:sz w:val="16"/>
                <w:szCs w:val="16"/>
                <w:lang w:eastAsia="es-CO"/>
              </w:rPr>
              <w:t>energía eléctrica en las zonas no interconectadas</w:t>
            </w:r>
          </w:p>
        </w:tc>
        <w:tc>
          <w:tcPr>
            <w:tcW w:w="851" w:type="dxa"/>
            <w:vMerge w:val="restart"/>
            <w:tcBorders>
              <w:top w:val="single" w:color="000000" w:sz="4" w:space="0"/>
              <w:left w:val="single" w:color="000000" w:sz="4" w:space="0"/>
              <w:bottom w:val="nil"/>
              <w:right w:val="single" w:color="000000" w:sz="4" w:space="0"/>
            </w:tcBorders>
            <w:vAlign w:val="center"/>
            <w:hideMark/>
          </w:tcPr>
          <w:p w:rsidRPr="00EC6B8C" w:rsidR="00EC6B8C" w:rsidP="00D97D31" w:rsidRDefault="00EC6B8C" w14:paraId="6DD6BC1C" w14:textId="77777777">
            <w:pPr>
              <w:suppressAutoHyphens w:val="0"/>
              <w:spacing w:after="0"/>
              <w:jc w:val="center"/>
              <w:rPr>
                <w:rFonts w:ascii="Calibri" w:hAnsi="Calibri" w:eastAsia="Times New Roman" w:cs="Calibri"/>
                <w:color w:val="000000"/>
                <w:sz w:val="16"/>
                <w:szCs w:val="16"/>
                <w:lang w:eastAsia="es-CO"/>
              </w:rPr>
            </w:pPr>
            <w:r w:rsidRPr="00EC6B8C">
              <w:rPr>
                <w:rFonts w:ascii="Calibri" w:hAnsi="Calibri" w:eastAsia="Times New Roman" w:cs="Calibri"/>
                <w:color w:val="000000"/>
                <w:sz w:val="16"/>
                <w:szCs w:val="16"/>
                <w:lang w:eastAsia="es-CO"/>
              </w:rPr>
              <w:t>Usuarios beneficiados con la ampliación de cobertura</w:t>
            </w:r>
          </w:p>
        </w:tc>
        <w:tc>
          <w:tcPr>
            <w:tcW w:w="980" w:type="dxa"/>
            <w:vMerge w:val="restart"/>
            <w:tcBorders>
              <w:top w:val="single" w:color="000000" w:sz="4" w:space="0"/>
              <w:left w:val="single" w:color="000000" w:sz="4" w:space="0"/>
              <w:bottom w:val="nil"/>
              <w:right w:val="single" w:color="000000" w:sz="4" w:space="0"/>
            </w:tcBorders>
            <w:noWrap/>
            <w:vAlign w:val="center"/>
            <w:hideMark/>
          </w:tcPr>
          <w:p w:rsidRPr="00F33318" w:rsidR="00EC6B8C" w:rsidP="00D97D31" w:rsidRDefault="00EC6B8C" w14:paraId="61FB601A" w14:textId="77777777">
            <w:pPr>
              <w:suppressAutoHyphens w:val="0"/>
              <w:spacing w:after="0"/>
              <w:jc w:val="center"/>
              <w:rPr>
                <w:rFonts w:ascii="Calibri" w:hAnsi="Calibri" w:eastAsia="Times New Roman" w:cs="Calibri"/>
                <w:color w:val="000000"/>
                <w:sz w:val="16"/>
                <w:szCs w:val="16"/>
                <w:highlight w:val="yellow"/>
                <w:lang w:eastAsia="es-CO"/>
              </w:rPr>
            </w:pPr>
            <w:r w:rsidRPr="00F33318">
              <w:rPr>
                <w:rFonts w:ascii="Calibri" w:hAnsi="Calibri" w:eastAsia="Times New Roman" w:cs="Calibri"/>
                <w:color w:val="000000"/>
                <w:sz w:val="16"/>
                <w:szCs w:val="16"/>
                <w:highlight w:val="yellow"/>
                <w:lang w:eastAsia="es-CO"/>
              </w:rPr>
              <w:t>28,441</w:t>
            </w:r>
          </w:p>
        </w:tc>
        <w:tc>
          <w:tcPr>
            <w:tcW w:w="980" w:type="dxa"/>
            <w:vMerge w:val="restart"/>
            <w:tcBorders>
              <w:top w:val="single" w:color="000000" w:sz="4" w:space="0"/>
              <w:left w:val="single" w:color="000000" w:sz="4" w:space="0"/>
              <w:bottom w:val="nil"/>
              <w:right w:val="single" w:color="000000" w:sz="4" w:space="0"/>
            </w:tcBorders>
            <w:noWrap/>
            <w:vAlign w:val="center"/>
            <w:hideMark/>
          </w:tcPr>
          <w:p w:rsidRPr="00F33318" w:rsidR="00EC6B8C" w:rsidP="00D97D31" w:rsidRDefault="00EC6B8C" w14:paraId="03A2AEE0" w14:textId="77777777">
            <w:pPr>
              <w:suppressAutoHyphens w:val="0"/>
              <w:spacing w:after="0"/>
              <w:jc w:val="center"/>
              <w:rPr>
                <w:rFonts w:ascii="Calibri" w:hAnsi="Calibri" w:eastAsia="Times New Roman" w:cs="Calibri"/>
                <w:color w:val="000000"/>
                <w:sz w:val="16"/>
                <w:szCs w:val="16"/>
                <w:highlight w:val="yellow"/>
                <w:lang w:eastAsia="es-CO"/>
              </w:rPr>
            </w:pPr>
            <w:r w:rsidRPr="00F33318">
              <w:rPr>
                <w:rFonts w:ascii="Calibri" w:hAnsi="Calibri" w:eastAsia="Times New Roman" w:cs="Calibri"/>
                <w:color w:val="000000"/>
                <w:sz w:val="16"/>
                <w:szCs w:val="16"/>
                <w:highlight w:val="yellow"/>
                <w:lang w:eastAsia="es-CO"/>
              </w:rPr>
              <w:t>34,142</w:t>
            </w:r>
          </w:p>
        </w:tc>
        <w:tc>
          <w:tcPr>
            <w:tcW w:w="1340" w:type="dxa"/>
            <w:tcBorders>
              <w:top w:val="single" w:color="000000" w:sz="4" w:space="0"/>
              <w:left w:val="single" w:color="000000" w:sz="4" w:space="0"/>
              <w:bottom w:val="single" w:color="000000" w:sz="4" w:space="0"/>
              <w:right w:val="single" w:color="000000" w:sz="4" w:space="0"/>
            </w:tcBorders>
            <w:vAlign w:val="center"/>
            <w:hideMark/>
          </w:tcPr>
          <w:p w:rsidRPr="00EC6B8C" w:rsidR="00EC6B8C" w:rsidP="00D97D31" w:rsidRDefault="00EC6B8C" w14:paraId="131B6A4B" w14:textId="77777777">
            <w:pPr>
              <w:suppressAutoHyphens w:val="0"/>
              <w:spacing w:after="0"/>
              <w:rPr>
                <w:rFonts w:ascii="Calibri" w:hAnsi="Calibri" w:eastAsia="Times New Roman" w:cs="Calibri"/>
                <w:color w:val="000000"/>
                <w:sz w:val="16"/>
                <w:szCs w:val="16"/>
                <w:lang w:eastAsia="es-CO"/>
              </w:rPr>
            </w:pPr>
            <w:r w:rsidRPr="00EC6B8C">
              <w:rPr>
                <w:rFonts w:ascii="Calibri" w:hAnsi="Calibri" w:eastAsia="Times New Roman" w:cs="Calibri"/>
                <w:color w:val="000000"/>
                <w:sz w:val="16"/>
                <w:szCs w:val="16"/>
                <w:lang w:eastAsia="es-CO"/>
              </w:rPr>
              <w:t>1.1.1 Girar los recursos destinados a financiar los planes, programas y proyectos para el mejoramiento de la infraestructura eléctrica</w:t>
            </w:r>
          </w:p>
        </w:tc>
        <w:tc>
          <w:tcPr>
            <w:tcW w:w="850" w:type="dxa"/>
            <w:tcBorders>
              <w:top w:val="single" w:color="000000" w:sz="4" w:space="0"/>
              <w:left w:val="single" w:color="000000" w:sz="4" w:space="0"/>
              <w:bottom w:val="single" w:color="000000" w:sz="4" w:space="0"/>
              <w:right w:val="single" w:color="000000" w:sz="4" w:space="0"/>
            </w:tcBorders>
            <w:vAlign w:val="center"/>
            <w:hideMark/>
          </w:tcPr>
          <w:p w:rsidRPr="00EC6B8C" w:rsidR="00EC6B8C" w:rsidP="00D97D31" w:rsidRDefault="00EC6B8C" w14:paraId="1DC98B73" w14:textId="77777777">
            <w:pPr>
              <w:suppressAutoHyphens w:val="0"/>
              <w:spacing w:after="0"/>
              <w:rPr>
                <w:rFonts w:ascii="Calibri" w:hAnsi="Calibri" w:eastAsia="Times New Roman" w:cs="Calibri"/>
                <w:color w:val="000000"/>
                <w:sz w:val="16"/>
                <w:szCs w:val="16"/>
                <w:lang w:eastAsia="es-CO"/>
              </w:rPr>
            </w:pPr>
            <w:r w:rsidRPr="00EC6B8C">
              <w:rPr>
                <w:rFonts w:ascii="Calibri" w:hAnsi="Calibri" w:eastAsia="Times New Roman" w:cs="Calibri"/>
                <w:color w:val="000000"/>
                <w:sz w:val="16"/>
                <w:szCs w:val="16"/>
                <w:lang w:eastAsia="es-CO"/>
              </w:rPr>
              <w:t>Inversión</w:t>
            </w:r>
          </w:p>
        </w:tc>
        <w:tc>
          <w:tcPr>
            <w:tcW w:w="915" w:type="dxa"/>
            <w:tcBorders>
              <w:top w:val="single" w:color="000000" w:sz="4" w:space="0"/>
              <w:left w:val="single" w:color="000000" w:sz="4" w:space="0"/>
              <w:bottom w:val="single" w:color="000000" w:sz="4" w:space="0"/>
              <w:right w:val="single" w:color="000000" w:sz="4" w:space="0"/>
            </w:tcBorders>
            <w:vAlign w:val="center"/>
            <w:hideMark/>
          </w:tcPr>
          <w:p w:rsidRPr="00EC6B8C" w:rsidR="00EC6B8C" w:rsidP="00D97D31" w:rsidRDefault="00EC6B8C" w14:paraId="57F78A33" w14:textId="77777777">
            <w:pPr>
              <w:suppressAutoHyphens w:val="0"/>
              <w:spacing w:after="0"/>
              <w:jc w:val="center"/>
              <w:rPr>
                <w:rFonts w:ascii="Calibri" w:hAnsi="Calibri" w:eastAsia="Times New Roman" w:cs="Calibri"/>
                <w:color w:val="000000"/>
                <w:sz w:val="16"/>
                <w:szCs w:val="16"/>
                <w:lang w:eastAsia="es-CO"/>
              </w:rPr>
            </w:pPr>
            <w:r w:rsidRPr="00EC6B8C">
              <w:rPr>
                <w:rFonts w:ascii="Calibri" w:hAnsi="Calibri" w:eastAsia="Times New Roman" w:cs="Calibri"/>
                <w:color w:val="000000"/>
                <w:sz w:val="16"/>
                <w:szCs w:val="16"/>
                <w:lang w:eastAsia="es-CO"/>
              </w:rPr>
              <w:t>Si</w:t>
            </w:r>
          </w:p>
        </w:tc>
        <w:tc>
          <w:tcPr>
            <w:tcW w:w="1233" w:type="dxa"/>
            <w:vMerge w:val="restart"/>
            <w:tcBorders>
              <w:top w:val="single" w:color="000000" w:sz="4" w:space="0"/>
              <w:left w:val="single" w:color="000000" w:sz="4" w:space="0"/>
              <w:bottom w:val="nil"/>
              <w:right w:val="single" w:color="000000" w:sz="4" w:space="0"/>
            </w:tcBorders>
            <w:noWrap/>
            <w:vAlign w:val="center"/>
            <w:hideMark/>
          </w:tcPr>
          <w:p w:rsidRPr="00EC6B8C" w:rsidR="00EC6B8C" w:rsidP="00D97D31" w:rsidRDefault="00EC6B8C" w14:paraId="4E7DB50C" w14:textId="77777777">
            <w:pPr>
              <w:suppressAutoHyphens w:val="0"/>
              <w:spacing w:after="0"/>
              <w:jc w:val="center"/>
              <w:rPr>
                <w:rFonts w:ascii="Calibri" w:hAnsi="Calibri" w:eastAsia="Times New Roman" w:cs="Calibri"/>
                <w:color w:val="000000"/>
                <w:sz w:val="16"/>
                <w:szCs w:val="16"/>
                <w:lang w:eastAsia="es-CO"/>
              </w:rPr>
            </w:pPr>
            <w:r w:rsidRPr="00EC6B8C">
              <w:rPr>
                <w:rFonts w:ascii="Calibri" w:hAnsi="Calibri" w:eastAsia="Times New Roman" w:cs="Calibri"/>
                <w:color w:val="000000"/>
                <w:sz w:val="16"/>
                <w:szCs w:val="16"/>
                <w:lang w:eastAsia="es-CO"/>
              </w:rPr>
              <w:t>$ 230,000,000,000</w:t>
            </w:r>
          </w:p>
        </w:tc>
        <w:tc>
          <w:tcPr>
            <w:tcW w:w="1418" w:type="dxa"/>
            <w:tcBorders>
              <w:top w:val="single" w:color="000000" w:sz="4" w:space="0"/>
              <w:left w:val="single" w:color="000000" w:sz="4" w:space="0"/>
              <w:bottom w:val="single" w:color="000000" w:sz="4" w:space="0"/>
              <w:right w:val="single" w:color="auto" w:sz="12" w:space="0"/>
            </w:tcBorders>
            <w:noWrap/>
            <w:vAlign w:val="center"/>
            <w:hideMark/>
          </w:tcPr>
          <w:p w:rsidRPr="00EC6B8C" w:rsidR="00EC6B8C" w:rsidP="00D97D31" w:rsidRDefault="00EC6B8C" w14:paraId="47976420" w14:textId="77777777">
            <w:pPr>
              <w:suppressAutoHyphens w:val="0"/>
              <w:spacing w:after="0"/>
              <w:rPr>
                <w:rFonts w:ascii="Calibri" w:hAnsi="Calibri" w:eastAsia="Times New Roman" w:cs="Calibri"/>
                <w:color w:val="000000"/>
                <w:sz w:val="16"/>
                <w:szCs w:val="16"/>
                <w:lang w:eastAsia="es-CO"/>
              </w:rPr>
            </w:pPr>
            <w:r w:rsidRPr="00EC6B8C">
              <w:rPr>
                <w:rFonts w:ascii="Calibri" w:hAnsi="Calibri" w:eastAsia="Times New Roman" w:cs="Calibri"/>
                <w:color w:val="000000"/>
                <w:sz w:val="16"/>
                <w:szCs w:val="16"/>
                <w:lang w:eastAsia="es-CO"/>
              </w:rPr>
              <w:t>$ 0</w:t>
            </w:r>
          </w:p>
        </w:tc>
      </w:tr>
      <w:tr w:rsidRPr="00EC6B8C" w:rsidR="008B72A4" w:rsidTr="00D877D0" w14:paraId="788965AC" w14:textId="77777777">
        <w:trPr>
          <w:gridAfter w:val="2"/>
          <w:wAfter w:w="68" w:type="dxa"/>
          <w:trHeight w:val="1215"/>
        </w:trPr>
        <w:tc>
          <w:tcPr>
            <w:tcW w:w="993" w:type="dxa"/>
            <w:vMerge/>
            <w:tcBorders>
              <w:top w:val="single" w:color="000000" w:sz="4" w:space="0"/>
              <w:left w:val="single" w:color="auto" w:sz="12" w:space="0"/>
              <w:bottom w:val="nil"/>
              <w:right w:val="single" w:color="000000" w:sz="4" w:space="0"/>
            </w:tcBorders>
            <w:vAlign w:val="center"/>
            <w:hideMark/>
          </w:tcPr>
          <w:p w:rsidRPr="00EC6B8C" w:rsidR="00EC6B8C" w:rsidP="00D97D31" w:rsidRDefault="00EC6B8C" w14:paraId="27AB4567" w14:textId="77777777">
            <w:pPr>
              <w:suppressAutoHyphens w:val="0"/>
              <w:spacing w:after="0"/>
              <w:rPr>
                <w:rFonts w:ascii="Calibri" w:hAnsi="Calibri" w:eastAsia="Times New Roman" w:cs="Calibri"/>
                <w:color w:val="000000"/>
                <w:sz w:val="16"/>
                <w:szCs w:val="16"/>
                <w:lang w:eastAsia="es-CO"/>
              </w:rPr>
            </w:pPr>
          </w:p>
        </w:tc>
        <w:tc>
          <w:tcPr>
            <w:tcW w:w="1499" w:type="dxa"/>
            <w:vMerge/>
            <w:tcBorders>
              <w:top w:val="single" w:color="000000" w:sz="4" w:space="0"/>
              <w:left w:val="single" w:color="000000" w:sz="4" w:space="0"/>
              <w:bottom w:val="nil"/>
              <w:right w:val="single" w:color="000000" w:sz="4" w:space="0"/>
            </w:tcBorders>
            <w:vAlign w:val="center"/>
            <w:hideMark/>
          </w:tcPr>
          <w:p w:rsidRPr="00EC6B8C" w:rsidR="00EC6B8C" w:rsidP="00D97D31" w:rsidRDefault="00EC6B8C" w14:paraId="70923F48" w14:textId="77777777">
            <w:pPr>
              <w:suppressAutoHyphens w:val="0"/>
              <w:spacing w:after="0"/>
              <w:rPr>
                <w:rFonts w:ascii="Calibri" w:hAnsi="Calibri" w:eastAsia="Times New Roman" w:cs="Calibri"/>
                <w:color w:val="000000"/>
                <w:sz w:val="16"/>
                <w:szCs w:val="16"/>
                <w:lang w:eastAsia="es-CO"/>
              </w:rPr>
            </w:pPr>
          </w:p>
        </w:tc>
        <w:tc>
          <w:tcPr>
            <w:tcW w:w="851" w:type="dxa"/>
            <w:vMerge/>
            <w:tcBorders>
              <w:top w:val="single" w:color="000000" w:sz="4" w:space="0"/>
              <w:left w:val="single" w:color="000000" w:sz="4" w:space="0"/>
              <w:bottom w:val="nil"/>
              <w:right w:val="single" w:color="000000" w:sz="4" w:space="0"/>
            </w:tcBorders>
            <w:vAlign w:val="center"/>
            <w:hideMark/>
          </w:tcPr>
          <w:p w:rsidRPr="00EC6B8C" w:rsidR="00EC6B8C" w:rsidP="00D97D31" w:rsidRDefault="00EC6B8C" w14:paraId="35929635" w14:textId="77777777">
            <w:pPr>
              <w:suppressAutoHyphens w:val="0"/>
              <w:spacing w:after="0"/>
              <w:rPr>
                <w:rFonts w:ascii="Calibri" w:hAnsi="Calibri" w:eastAsia="Times New Roman" w:cs="Calibri"/>
                <w:color w:val="000000"/>
                <w:sz w:val="16"/>
                <w:szCs w:val="16"/>
                <w:lang w:eastAsia="es-CO"/>
              </w:rPr>
            </w:pPr>
          </w:p>
        </w:tc>
        <w:tc>
          <w:tcPr>
            <w:tcW w:w="980" w:type="dxa"/>
            <w:vMerge/>
            <w:tcBorders>
              <w:top w:val="single" w:color="000000" w:sz="4" w:space="0"/>
              <w:left w:val="single" w:color="000000" w:sz="4" w:space="0"/>
              <w:bottom w:val="nil"/>
              <w:right w:val="single" w:color="000000" w:sz="4" w:space="0"/>
            </w:tcBorders>
            <w:vAlign w:val="center"/>
            <w:hideMark/>
          </w:tcPr>
          <w:p w:rsidRPr="00EC6B8C" w:rsidR="00EC6B8C" w:rsidP="00D97D31" w:rsidRDefault="00EC6B8C" w14:paraId="53993C34" w14:textId="77777777">
            <w:pPr>
              <w:suppressAutoHyphens w:val="0"/>
              <w:spacing w:after="0"/>
              <w:rPr>
                <w:rFonts w:ascii="Calibri" w:hAnsi="Calibri" w:eastAsia="Times New Roman" w:cs="Calibri"/>
                <w:color w:val="000000"/>
                <w:sz w:val="16"/>
                <w:szCs w:val="16"/>
                <w:lang w:eastAsia="es-CO"/>
              </w:rPr>
            </w:pPr>
          </w:p>
        </w:tc>
        <w:tc>
          <w:tcPr>
            <w:tcW w:w="980" w:type="dxa"/>
            <w:vMerge/>
            <w:tcBorders>
              <w:top w:val="single" w:color="000000" w:sz="4" w:space="0"/>
              <w:left w:val="single" w:color="000000" w:sz="4" w:space="0"/>
              <w:bottom w:val="nil"/>
              <w:right w:val="single" w:color="000000" w:sz="4" w:space="0"/>
            </w:tcBorders>
            <w:vAlign w:val="center"/>
            <w:hideMark/>
          </w:tcPr>
          <w:p w:rsidRPr="00EC6B8C" w:rsidR="00EC6B8C" w:rsidP="00D97D31" w:rsidRDefault="00EC6B8C" w14:paraId="38A785A3" w14:textId="77777777">
            <w:pPr>
              <w:suppressAutoHyphens w:val="0"/>
              <w:spacing w:after="0"/>
              <w:rPr>
                <w:rFonts w:ascii="Calibri" w:hAnsi="Calibri" w:eastAsia="Times New Roman" w:cs="Calibri"/>
                <w:color w:val="000000"/>
                <w:sz w:val="16"/>
                <w:szCs w:val="16"/>
                <w:lang w:eastAsia="es-CO"/>
              </w:rPr>
            </w:pPr>
          </w:p>
        </w:tc>
        <w:tc>
          <w:tcPr>
            <w:tcW w:w="1340" w:type="dxa"/>
            <w:tcBorders>
              <w:top w:val="single" w:color="000000" w:sz="4" w:space="0"/>
              <w:left w:val="single" w:color="000000" w:sz="4" w:space="0"/>
              <w:bottom w:val="single" w:color="000000" w:sz="4" w:space="0"/>
              <w:right w:val="single" w:color="000000" w:sz="4" w:space="0"/>
            </w:tcBorders>
            <w:vAlign w:val="center"/>
            <w:hideMark/>
          </w:tcPr>
          <w:p w:rsidRPr="00EC6B8C" w:rsidR="00EC6B8C" w:rsidP="00D97D31" w:rsidRDefault="00EC6B8C" w14:paraId="0DBE8387" w14:textId="77777777">
            <w:pPr>
              <w:suppressAutoHyphens w:val="0"/>
              <w:spacing w:after="0"/>
              <w:rPr>
                <w:rFonts w:ascii="Calibri" w:hAnsi="Calibri" w:eastAsia="Times New Roman" w:cs="Calibri"/>
                <w:color w:val="000000"/>
                <w:sz w:val="16"/>
                <w:szCs w:val="16"/>
                <w:lang w:eastAsia="es-CO"/>
              </w:rPr>
            </w:pPr>
            <w:r w:rsidRPr="00EC6B8C">
              <w:rPr>
                <w:rFonts w:ascii="Calibri" w:hAnsi="Calibri" w:eastAsia="Times New Roman" w:cs="Calibri"/>
                <w:color w:val="000000"/>
                <w:sz w:val="16"/>
                <w:szCs w:val="16"/>
                <w:lang w:eastAsia="es-CO"/>
              </w:rPr>
              <w:t>1.1.2 Girar los recursos destinados a financiar los planes, programas y proyectos para la construcción e instalación de nueva infraestructura</w:t>
            </w:r>
          </w:p>
        </w:tc>
        <w:tc>
          <w:tcPr>
            <w:tcW w:w="850" w:type="dxa"/>
            <w:tcBorders>
              <w:top w:val="single" w:color="000000" w:sz="4" w:space="0"/>
              <w:left w:val="single" w:color="000000" w:sz="4" w:space="0"/>
              <w:bottom w:val="single" w:color="000000" w:sz="4" w:space="0"/>
              <w:right w:val="single" w:color="000000" w:sz="4" w:space="0"/>
            </w:tcBorders>
            <w:vAlign w:val="center"/>
            <w:hideMark/>
          </w:tcPr>
          <w:p w:rsidRPr="00EC6B8C" w:rsidR="00EC6B8C" w:rsidP="00D97D31" w:rsidRDefault="00EC6B8C" w14:paraId="60C88631" w14:textId="77777777">
            <w:pPr>
              <w:suppressAutoHyphens w:val="0"/>
              <w:spacing w:after="0"/>
              <w:rPr>
                <w:rFonts w:ascii="Calibri" w:hAnsi="Calibri" w:eastAsia="Times New Roman" w:cs="Calibri"/>
                <w:color w:val="000000"/>
                <w:sz w:val="16"/>
                <w:szCs w:val="16"/>
                <w:lang w:eastAsia="es-CO"/>
              </w:rPr>
            </w:pPr>
            <w:r w:rsidRPr="00EC6B8C">
              <w:rPr>
                <w:rFonts w:ascii="Calibri" w:hAnsi="Calibri" w:eastAsia="Times New Roman" w:cs="Calibri"/>
                <w:color w:val="000000"/>
                <w:sz w:val="16"/>
                <w:szCs w:val="16"/>
                <w:lang w:eastAsia="es-CO"/>
              </w:rPr>
              <w:t>Inversión</w:t>
            </w:r>
          </w:p>
        </w:tc>
        <w:tc>
          <w:tcPr>
            <w:tcW w:w="915" w:type="dxa"/>
            <w:tcBorders>
              <w:top w:val="single" w:color="000000" w:sz="4" w:space="0"/>
              <w:left w:val="single" w:color="000000" w:sz="4" w:space="0"/>
              <w:bottom w:val="single" w:color="000000" w:sz="4" w:space="0"/>
              <w:right w:val="single" w:color="000000" w:sz="4" w:space="0"/>
            </w:tcBorders>
            <w:vAlign w:val="center"/>
            <w:hideMark/>
          </w:tcPr>
          <w:p w:rsidRPr="00EC6B8C" w:rsidR="00EC6B8C" w:rsidP="00D97D31" w:rsidRDefault="00EC6B8C" w14:paraId="07D0EFD4" w14:textId="77777777">
            <w:pPr>
              <w:suppressAutoHyphens w:val="0"/>
              <w:spacing w:after="0"/>
              <w:jc w:val="center"/>
              <w:rPr>
                <w:rFonts w:ascii="Calibri" w:hAnsi="Calibri" w:eastAsia="Times New Roman" w:cs="Calibri"/>
                <w:color w:val="000000"/>
                <w:sz w:val="16"/>
                <w:szCs w:val="16"/>
                <w:lang w:eastAsia="es-CO"/>
              </w:rPr>
            </w:pPr>
            <w:r w:rsidRPr="00EC6B8C">
              <w:rPr>
                <w:rFonts w:ascii="Calibri" w:hAnsi="Calibri" w:eastAsia="Times New Roman" w:cs="Calibri"/>
                <w:color w:val="000000"/>
                <w:sz w:val="16"/>
                <w:szCs w:val="16"/>
                <w:lang w:eastAsia="es-CO"/>
              </w:rPr>
              <w:t>Si</w:t>
            </w:r>
          </w:p>
        </w:tc>
        <w:tc>
          <w:tcPr>
            <w:tcW w:w="1233" w:type="dxa"/>
            <w:vMerge/>
            <w:tcBorders>
              <w:top w:val="single" w:color="000000" w:sz="4" w:space="0"/>
              <w:left w:val="single" w:color="000000" w:sz="4" w:space="0"/>
              <w:bottom w:val="nil"/>
              <w:right w:val="single" w:color="000000" w:sz="4" w:space="0"/>
            </w:tcBorders>
            <w:vAlign w:val="center"/>
            <w:hideMark/>
          </w:tcPr>
          <w:p w:rsidRPr="00EC6B8C" w:rsidR="00EC6B8C" w:rsidP="00D97D31" w:rsidRDefault="00EC6B8C" w14:paraId="758D4C50" w14:textId="77777777">
            <w:pPr>
              <w:suppressAutoHyphens w:val="0"/>
              <w:spacing w:after="0"/>
              <w:rPr>
                <w:rFonts w:ascii="Calibri" w:hAnsi="Calibri" w:eastAsia="Times New Roman" w:cs="Calibri"/>
                <w:color w:val="000000"/>
                <w:sz w:val="16"/>
                <w:szCs w:val="16"/>
                <w:lang w:eastAsia="es-CO"/>
              </w:rPr>
            </w:pPr>
          </w:p>
        </w:tc>
        <w:tc>
          <w:tcPr>
            <w:tcW w:w="1418" w:type="dxa"/>
            <w:tcBorders>
              <w:top w:val="single" w:color="000000" w:sz="4" w:space="0"/>
              <w:left w:val="single" w:color="000000" w:sz="4" w:space="0"/>
              <w:bottom w:val="single" w:color="000000" w:sz="4" w:space="0"/>
              <w:right w:val="single" w:color="auto" w:sz="12" w:space="0"/>
            </w:tcBorders>
            <w:noWrap/>
            <w:vAlign w:val="center"/>
            <w:hideMark/>
          </w:tcPr>
          <w:p w:rsidRPr="00F33318" w:rsidR="00EC6B8C" w:rsidP="00D97D31" w:rsidRDefault="00EC6B8C" w14:paraId="48B59106" w14:textId="77777777">
            <w:pPr>
              <w:suppressAutoHyphens w:val="0"/>
              <w:spacing w:after="0"/>
              <w:rPr>
                <w:rFonts w:ascii="Calibri" w:hAnsi="Calibri" w:eastAsia="Times New Roman" w:cs="Calibri"/>
                <w:color w:val="000000"/>
                <w:sz w:val="16"/>
                <w:szCs w:val="16"/>
                <w:highlight w:val="yellow"/>
                <w:lang w:eastAsia="es-CO"/>
              </w:rPr>
            </w:pPr>
            <w:r w:rsidRPr="00F33318">
              <w:rPr>
                <w:rFonts w:ascii="Calibri" w:hAnsi="Calibri" w:eastAsia="Times New Roman" w:cs="Calibri"/>
                <w:color w:val="000000"/>
                <w:sz w:val="16"/>
                <w:szCs w:val="16"/>
                <w:highlight w:val="yellow"/>
                <w:lang w:eastAsia="es-CO"/>
              </w:rPr>
              <w:t>$ 210,018,234,210</w:t>
            </w:r>
          </w:p>
        </w:tc>
      </w:tr>
      <w:tr w:rsidRPr="00EC6B8C" w:rsidR="008B72A4" w:rsidTr="00D877D0" w14:paraId="4647030E" w14:textId="77777777">
        <w:trPr>
          <w:gridAfter w:val="2"/>
          <w:wAfter w:w="68" w:type="dxa"/>
          <w:trHeight w:val="1215"/>
        </w:trPr>
        <w:tc>
          <w:tcPr>
            <w:tcW w:w="993" w:type="dxa"/>
            <w:vMerge/>
            <w:tcBorders>
              <w:top w:val="single" w:color="000000" w:sz="4" w:space="0"/>
              <w:left w:val="single" w:color="auto" w:sz="12" w:space="0"/>
              <w:bottom w:val="nil"/>
              <w:right w:val="single" w:color="000000" w:sz="4" w:space="0"/>
            </w:tcBorders>
            <w:vAlign w:val="center"/>
            <w:hideMark/>
          </w:tcPr>
          <w:p w:rsidRPr="00EC6B8C" w:rsidR="00EC6B8C" w:rsidP="00D97D31" w:rsidRDefault="00EC6B8C" w14:paraId="4A0E7729" w14:textId="77777777">
            <w:pPr>
              <w:suppressAutoHyphens w:val="0"/>
              <w:spacing w:after="0"/>
              <w:rPr>
                <w:rFonts w:ascii="Calibri" w:hAnsi="Calibri" w:eastAsia="Times New Roman" w:cs="Calibri"/>
                <w:color w:val="000000"/>
                <w:sz w:val="16"/>
                <w:szCs w:val="16"/>
                <w:lang w:eastAsia="es-CO"/>
              </w:rPr>
            </w:pPr>
          </w:p>
        </w:tc>
        <w:tc>
          <w:tcPr>
            <w:tcW w:w="1499" w:type="dxa"/>
            <w:vMerge/>
            <w:tcBorders>
              <w:top w:val="single" w:color="000000" w:sz="4" w:space="0"/>
              <w:left w:val="single" w:color="000000" w:sz="4" w:space="0"/>
              <w:bottom w:val="nil"/>
              <w:right w:val="single" w:color="000000" w:sz="4" w:space="0"/>
            </w:tcBorders>
            <w:vAlign w:val="center"/>
            <w:hideMark/>
          </w:tcPr>
          <w:p w:rsidRPr="00EC6B8C" w:rsidR="00EC6B8C" w:rsidP="00D97D31" w:rsidRDefault="00EC6B8C" w14:paraId="27FE4D84" w14:textId="77777777">
            <w:pPr>
              <w:suppressAutoHyphens w:val="0"/>
              <w:spacing w:after="0"/>
              <w:rPr>
                <w:rFonts w:ascii="Calibri" w:hAnsi="Calibri" w:eastAsia="Times New Roman" w:cs="Calibri"/>
                <w:color w:val="000000"/>
                <w:sz w:val="16"/>
                <w:szCs w:val="16"/>
                <w:lang w:eastAsia="es-CO"/>
              </w:rPr>
            </w:pPr>
          </w:p>
        </w:tc>
        <w:tc>
          <w:tcPr>
            <w:tcW w:w="851" w:type="dxa"/>
            <w:vMerge w:val="restart"/>
            <w:tcBorders>
              <w:top w:val="nil"/>
              <w:left w:val="single" w:color="000000" w:sz="4" w:space="0"/>
              <w:bottom w:val="nil"/>
              <w:right w:val="single" w:color="000000" w:sz="4" w:space="0"/>
            </w:tcBorders>
            <w:vAlign w:val="center"/>
            <w:hideMark/>
          </w:tcPr>
          <w:p w:rsidRPr="00EC6B8C" w:rsidR="00EC6B8C" w:rsidP="00D97D31" w:rsidRDefault="00EC6B8C" w14:paraId="61F090D3" w14:textId="77777777">
            <w:pPr>
              <w:suppressAutoHyphens w:val="0"/>
              <w:spacing w:after="0"/>
              <w:jc w:val="center"/>
              <w:rPr>
                <w:rFonts w:ascii="Calibri" w:hAnsi="Calibri" w:eastAsia="Times New Roman" w:cs="Calibri"/>
                <w:color w:val="000000"/>
                <w:sz w:val="16"/>
                <w:szCs w:val="16"/>
                <w:lang w:eastAsia="es-CO"/>
              </w:rPr>
            </w:pPr>
            <w:r w:rsidRPr="00EC6B8C">
              <w:rPr>
                <w:rFonts w:ascii="Calibri" w:hAnsi="Calibri" w:eastAsia="Times New Roman" w:cs="Calibri"/>
                <w:color w:val="000000"/>
                <w:sz w:val="16"/>
                <w:szCs w:val="16"/>
                <w:lang w:eastAsia="es-CO"/>
              </w:rPr>
              <w:t>Usuarios beneficiados con del mejoramiento de la infraestructura</w:t>
            </w:r>
          </w:p>
        </w:tc>
        <w:tc>
          <w:tcPr>
            <w:tcW w:w="980" w:type="dxa"/>
            <w:vMerge w:val="restart"/>
            <w:tcBorders>
              <w:top w:val="single" w:color="000000" w:sz="4" w:space="0"/>
              <w:left w:val="single" w:color="000000" w:sz="4" w:space="0"/>
              <w:bottom w:val="nil"/>
              <w:right w:val="single" w:color="000000" w:sz="4" w:space="0"/>
            </w:tcBorders>
            <w:noWrap/>
            <w:vAlign w:val="center"/>
            <w:hideMark/>
          </w:tcPr>
          <w:p w:rsidRPr="00EC6B8C" w:rsidR="00EC6B8C" w:rsidP="00D97D31" w:rsidRDefault="00EC6B8C" w14:paraId="64F0E09E" w14:textId="77777777">
            <w:pPr>
              <w:suppressAutoHyphens w:val="0"/>
              <w:spacing w:after="0"/>
              <w:jc w:val="center"/>
              <w:rPr>
                <w:rFonts w:ascii="Calibri" w:hAnsi="Calibri" w:eastAsia="Times New Roman" w:cs="Calibri"/>
                <w:color w:val="000000"/>
                <w:sz w:val="16"/>
                <w:szCs w:val="16"/>
                <w:lang w:eastAsia="es-CO"/>
              </w:rPr>
            </w:pPr>
            <w:r w:rsidRPr="00EC6B8C">
              <w:rPr>
                <w:rFonts w:ascii="Calibri" w:hAnsi="Calibri" w:eastAsia="Times New Roman" w:cs="Calibri"/>
                <w:color w:val="000000"/>
                <w:sz w:val="16"/>
                <w:szCs w:val="16"/>
                <w:lang w:eastAsia="es-CO"/>
              </w:rPr>
              <w:t>0</w:t>
            </w:r>
          </w:p>
        </w:tc>
        <w:tc>
          <w:tcPr>
            <w:tcW w:w="980" w:type="dxa"/>
            <w:vMerge w:val="restart"/>
            <w:tcBorders>
              <w:top w:val="single" w:color="000000" w:sz="4" w:space="0"/>
              <w:left w:val="single" w:color="000000" w:sz="4" w:space="0"/>
              <w:bottom w:val="nil"/>
              <w:right w:val="single" w:color="000000" w:sz="4" w:space="0"/>
            </w:tcBorders>
            <w:noWrap/>
            <w:vAlign w:val="center"/>
            <w:hideMark/>
          </w:tcPr>
          <w:p w:rsidRPr="00EC6B8C" w:rsidR="00EC6B8C" w:rsidP="00D97D31" w:rsidRDefault="00EC6B8C" w14:paraId="07E5F1CE" w14:textId="77777777">
            <w:pPr>
              <w:suppressAutoHyphens w:val="0"/>
              <w:spacing w:after="0"/>
              <w:jc w:val="center"/>
              <w:rPr>
                <w:rFonts w:ascii="Calibri" w:hAnsi="Calibri" w:eastAsia="Times New Roman" w:cs="Calibri"/>
                <w:color w:val="000000"/>
                <w:sz w:val="16"/>
                <w:szCs w:val="16"/>
                <w:lang w:eastAsia="es-CO"/>
              </w:rPr>
            </w:pPr>
            <w:r w:rsidRPr="00EC6B8C">
              <w:rPr>
                <w:rFonts w:ascii="Calibri" w:hAnsi="Calibri" w:eastAsia="Times New Roman" w:cs="Calibri"/>
                <w:color w:val="000000"/>
                <w:sz w:val="16"/>
                <w:szCs w:val="16"/>
                <w:lang w:eastAsia="es-CO"/>
              </w:rPr>
              <w:t>0</w:t>
            </w:r>
          </w:p>
        </w:tc>
        <w:tc>
          <w:tcPr>
            <w:tcW w:w="1340" w:type="dxa"/>
            <w:tcBorders>
              <w:top w:val="single" w:color="000000" w:sz="4" w:space="0"/>
              <w:left w:val="single" w:color="000000" w:sz="4" w:space="0"/>
              <w:bottom w:val="single" w:color="000000" w:sz="4" w:space="0"/>
              <w:right w:val="single" w:color="000000" w:sz="4" w:space="0"/>
            </w:tcBorders>
            <w:vAlign w:val="center"/>
            <w:hideMark/>
          </w:tcPr>
          <w:p w:rsidRPr="00EC6B8C" w:rsidR="00EC6B8C" w:rsidP="00D97D31" w:rsidRDefault="00EC6B8C" w14:paraId="1B7A2E99" w14:textId="77777777">
            <w:pPr>
              <w:suppressAutoHyphens w:val="0"/>
              <w:spacing w:after="0"/>
              <w:rPr>
                <w:rFonts w:ascii="Calibri" w:hAnsi="Calibri" w:eastAsia="Times New Roman" w:cs="Calibri"/>
                <w:color w:val="000000"/>
                <w:sz w:val="16"/>
                <w:szCs w:val="16"/>
                <w:lang w:eastAsia="es-CO"/>
              </w:rPr>
            </w:pPr>
            <w:r w:rsidRPr="00EC6B8C">
              <w:rPr>
                <w:rFonts w:ascii="Calibri" w:hAnsi="Calibri" w:eastAsia="Times New Roman" w:cs="Calibri"/>
                <w:color w:val="000000"/>
                <w:sz w:val="16"/>
                <w:szCs w:val="16"/>
                <w:lang w:eastAsia="es-CO"/>
              </w:rPr>
              <w:t>1.1.3 Girar los recursos para asistencia técnica y capacitación en el uso adecuado de la energía para su sostenibilidad</w:t>
            </w:r>
          </w:p>
        </w:tc>
        <w:tc>
          <w:tcPr>
            <w:tcW w:w="850" w:type="dxa"/>
            <w:tcBorders>
              <w:top w:val="single" w:color="000000" w:sz="4" w:space="0"/>
              <w:left w:val="single" w:color="000000" w:sz="4" w:space="0"/>
              <w:bottom w:val="single" w:color="000000" w:sz="4" w:space="0"/>
              <w:right w:val="single" w:color="000000" w:sz="4" w:space="0"/>
            </w:tcBorders>
            <w:vAlign w:val="center"/>
            <w:hideMark/>
          </w:tcPr>
          <w:p w:rsidRPr="00EC6B8C" w:rsidR="00EC6B8C" w:rsidP="00D97D31" w:rsidRDefault="00EC6B8C" w14:paraId="395A775A" w14:textId="77777777">
            <w:pPr>
              <w:suppressAutoHyphens w:val="0"/>
              <w:spacing w:after="0"/>
              <w:rPr>
                <w:rFonts w:ascii="Calibri" w:hAnsi="Calibri" w:eastAsia="Times New Roman" w:cs="Calibri"/>
                <w:color w:val="000000"/>
                <w:sz w:val="16"/>
                <w:szCs w:val="16"/>
                <w:lang w:eastAsia="es-CO"/>
              </w:rPr>
            </w:pPr>
            <w:r w:rsidRPr="00EC6B8C">
              <w:rPr>
                <w:rFonts w:ascii="Calibri" w:hAnsi="Calibri" w:eastAsia="Times New Roman" w:cs="Calibri"/>
                <w:color w:val="000000"/>
                <w:sz w:val="16"/>
                <w:szCs w:val="16"/>
                <w:lang w:eastAsia="es-CO"/>
              </w:rPr>
              <w:t>Inversión</w:t>
            </w:r>
          </w:p>
        </w:tc>
        <w:tc>
          <w:tcPr>
            <w:tcW w:w="915" w:type="dxa"/>
            <w:tcBorders>
              <w:top w:val="single" w:color="000000" w:sz="4" w:space="0"/>
              <w:left w:val="single" w:color="000000" w:sz="4" w:space="0"/>
              <w:bottom w:val="single" w:color="000000" w:sz="4" w:space="0"/>
              <w:right w:val="single" w:color="000000" w:sz="4" w:space="0"/>
            </w:tcBorders>
            <w:vAlign w:val="center"/>
            <w:hideMark/>
          </w:tcPr>
          <w:p w:rsidRPr="00EC6B8C" w:rsidR="00EC6B8C" w:rsidP="00D97D31" w:rsidRDefault="00EC6B8C" w14:paraId="5EA19461" w14:textId="77777777">
            <w:pPr>
              <w:suppressAutoHyphens w:val="0"/>
              <w:spacing w:after="0"/>
              <w:jc w:val="center"/>
              <w:rPr>
                <w:rFonts w:ascii="Calibri" w:hAnsi="Calibri" w:eastAsia="Times New Roman" w:cs="Calibri"/>
                <w:color w:val="000000"/>
                <w:sz w:val="16"/>
                <w:szCs w:val="16"/>
                <w:lang w:eastAsia="es-CO"/>
              </w:rPr>
            </w:pPr>
            <w:r w:rsidRPr="00EC6B8C">
              <w:rPr>
                <w:rFonts w:ascii="Calibri" w:hAnsi="Calibri" w:eastAsia="Times New Roman" w:cs="Calibri"/>
                <w:color w:val="000000"/>
                <w:sz w:val="16"/>
                <w:szCs w:val="16"/>
                <w:lang w:eastAsia="es-CO"/>
              </w:rPr>
              <w:t>Si</w:t>
            </w:r>
          </w:p>
        </w:tc>
        <w:tc>
          <w:tcPr>
            <w:tcW w:w="1233" w:type="dxa"/>
            <w:vMerge/>
            <w:tcBorders>
              <w:top w:val="single" w:color="000000" w:sz="4" w:space="0"/>
              <w:left w:val="single" w:color="000000" w:sz="4" w:space="0"/>
              <w:bottom w:val="nil"/>
              <w:right w:val="single" w:color="000000" w:sz="4" w:space="0"/>
            </w:tcBorders>
            <w:vAlign w:val="center"/>
            <w:hideMark/>
          </w:tcPr>
          <w:p w:rsidRPr="00EC6B8C" w:rsidR="00EC6B8C" w:rsidP="00D97D31" w:rsidRDefault="00EC6B8C" w14:paraId="77C64186" w14:textId="77777777">
            <w:pPr>
              <w:suppressAutoHyphens w:val="0"/>
              <w:spacing w:after="0"/>
              <w:rPr>
                <w:rFonts w:ascii="Calibri" w:hAnsi="Calibri" w:eastAsia="Times New Roman" w:cs="Calibri"/>
                <w:color w:val="000000"/>
                <w:sz w:val="16"/>
                <w:szCs w:val="16"/>
                <w:lang w:eastAsia="es-CO"/>
              </w:rPr>
            </w:pPr>
          </w:p>
        </w:tc>
        <w:tc>
          <w:tcPr>
            <w:tcW w:w="1418" w:type="dxa"/>
            <w:tcBorders>
              <w:top w:val="single" w:color="000000" w:sz="4" w:space="0"/>
              <w:left w:val="single" w:color="000000" w:sz="4" w:space="0"/>
              <w:bottom w:val="single" w:color="000000" w:sz="4" w:space="0"/>
              <w:right w:val="single" w:color="auto" w:sz="12" w:space="0"/>
            </w:tcBorders>
            <w:noWrap/>
            <w:vAlign w:val="center"/>
            <w:hideMark/>
          </w:tcPr>
          <w:p w:rsidRPr="00F33318" w:rsidR="00EC6B8C" w:rsidP="00D97D31" w:rsidRDefault="00EC6B8C" w14:paraId="0BCCAE4A" w14:textId="77777777">
            <w:pPr>
              <w:suppressAutoHyphens w:val="0"/>
              <w:spacing w:after="0"/>
              <w:rPr>
                <w:rFonts w:ascii="Calibri" w:hAnsi="Calibri" w:eastAsia="Times New Roman" w:cs="Calibri"/>
                <w:color w:val="000000"/>
                <w:sz w:val="16"/>
                <w:szCs w:val="16"/>
                <w:highlight w:val="yellow"/>
                <w:lang w:eastAsia="es-CO"/>
              </w:rPr>
            </w:pPr>
            <w:r w:rsidRPr="00F33318">
              <w:rPr>
                <w:rFonts w:ascii="Calibri" w:hAnsi="Calibri" w:eastAsia="Times New Roman" w:cs="Calibri"/>
                <w:color w:val="000000"/>
                <w:sz w:val="16"/>
                <w:szCs w:val="16"/>
                <w:highlight w:val="yellow"/>
                <w:lang w:eastAsia="es-CO"/>
              </w:rPr>
              <w:t>$ 6,246,384,751</w:t>
            </w:r>
          </w:p>
        </w:tc>
      </w:tr>
      <w:tr w:rsidRPr="00EC6B8C" w:rsidR="008B72A4" w:rsidTr="00D877D0" w14:paraId="03463BDB" w14:textId="77777777">
        <w:trPr>
          <w:gridAfter w:val="2"/>
          <w:wAfter w:w="68" w:type="dxa"/>
          <w:trHeight w:val="615"/>
        </w:trPr>
        <w:tc>
          <w:tcPr>
            <w:tcW w:w="993" w:type="dxa"/>
            <w:vMerge/>
            <w:tcBorders>
              <w:top w:val="single" w:color="000000" w:sz="4" w:space="0"/>
              <w:left w:val="single" w:color="auto" w:sz="12" w:space="0"/>
              <w:bottom w:val="nil"/>
              <w:right w:val="single" w:color="000000" w:sz="4" w:space="0"/>
            </w:tcBorders>
            <w:vAlign w:val="center"/>
            <w:hideMark/>
          </w:tcPr>
          <w:p w:rsidRPr="00EC6B8C" w:rsidR="00EC6B8C" w:rsidP="00D97D31" w:rsidRDefault="00EC6B8C" w14:paraId="2D4D1670" w14:textId="77777777">
            <w:pPr>
              <w:suppressAutoHyphens w:val="0"/>
              <w:spacing w:after="0"/>
              <w:rPr>
                <w:rFonts w:ascii="Calibri" w:hAnsi="Calibri" w:eastAsia="Times New Roman" w:cs="Calibri"/>
                <w:color w:val="000000"/>
                <w:sz w:val="16"/>
                <w:szCs w:val="16"/>
                <w:lang w:eastAsia="es-CO"/>
              </w:rPr>
            </w:pPr>
          </w:p>
        </w:tc>
        <w:tc>
          <w:tcPr>
            <w:tcW w:w="1499" w:type="dxa"/>
            <w:vMerge/>
            <w:tcBorders>
              <w:top w:val="single" w:color="000000" w:sz="4" w:space="0"/>
              <w:left w:val="single" w:color="000000" w:sz="4" w:space="0"/>
              <w:bottom w:val="nil"/>
              <w:right w:val="single" w:color="000000" w:sz="4" w:space="0"/>
            </w:tcBorders>
            <w:vAlign w:val="center"/>
            <w:hideMark/>
          </w:tcPr>
          <w:p w:rsidRPr="00EC6B8C" w:rsidR="00EC6B8C" w:rsidP="00D97D31" w:rsidRDefault="00EC6B8C" w14:paraId="0162A52D" w14:textId="77777777">
            <w:pPr>
              <w:suppressAutoHyphens w:val="0"/>
              <w:spacing w:after="0"/>
              <w:rPr>
                <w:rFonts w:ascii="Calibri" w:hAnsi="Calibri" w:eastAsia="Times New Roman" w:cs="Calibri"/>
                <w:color w:val="000000"/>
                <w:sz w:val="16"/>
                <w:szCs w:val="16"/>
                <w:lang w:eastAsia="es-CO"/>
              </w:rPr>
            </w:pPr>
          </w:p>
        </w:tc>
        <w:tc>
          <w:tcPr>
            <w:tcW w:w="851" w:type="dxa"/>
            <w:vMerge/>
            <w:tcBorders>
              <w:top w:val="nil"/>
              <w:left w:val="single" w:color="000000" w:sz="4" w:space="0"/>
              <w:bottom w:val="nil"/>
              <w:right w:val="single" w:color="000000" w:sz="4" w:space="0"/>
            </w:tcBorders>
            <w:vAlign w:val="center"/>
            <w:hideMark/>
          </w:tcPr>
          <w:p w:rsidRPr="00EC6B8C" w:rsidR="00EC6B8C" w:rsidP="00D97D31" w:rsidRDefault="00EC6B8C" w14:paraId="406764B2" w14:textId="77777777">
            <w:pPr>
              <w:suppressAutoHyphens w:val="0"/>
              <w:spacing w:after="0"/>
              <w:rPr>
                <w:rFonts w:ascii="Calibri" w:hAnsi="Calibri" w:eastAsia="Times New Roman" w:cs="Calibri"/>
                <w:color w:val="000000"/>
                <w:sz w:val="16"/>
                <w:szCs w:val="16"/>
                <w:lang w:eastAsia="es-CO"/>
              </w:rPr>
            </w:pPr>
          </w:p>
        </w:tc>
        <w:tc>
          <w:tcPr>
            <w:tcW w:w="980" w:type="dxa"/>
            <w:vMerge/>
            <w:tcBorders>
              <w:top w:val="single" w:color="000000" w:sz="4" w:space="0"/>
              <w:left w:val="single" w:color="000000" w:sz="4" w:space="0"/>
              <w:bottom w:val="nil"/>
              <w:right w:val="single" w:color="000000" w:sz="4" w:space="0"/>
            </w:tcBorders>
            <w:vAlign w:val="center"/>
            <w:hideMark/>
          </w:tcPr>
          <w:p w:rsidRPr="00EC6B8C" w:rsidR="00EC6B8C" w:rsidP="00D97D31" w:rsidRDefault="00EC6B8C" w14:paraId="598EE717" w14:textId="77777777">
            <w:pPr>
              <w:suppressAutoHyphens w:val="0"/>
              <w:spacing w:after="0"/>
              <w:rPr>
                <w:rFonts w:ascii="Calibri" w:hAnsi="Calibri" w:eastAsia="Times New Roman" w:cs="Calibri"/>
                <w:color w:val="000000"/>
                <w:sz w:val="16"/>
                <w:szCs w:val="16"/>
                <w:lang w:eastAsia="es-CO"/>
              </w:rPr>
            </w:pPr>
          </w:p>
        </w:tc>
        <w:tc>
          <w:tcPr>
            <w:tcW w:w="980" w:type="dxa"/>
            <w:vMerge/>
            <w:tcBorders>
              <w:top w:val="single" w:color="000000" w:sz="4" w:space="0"/>
              <w:left w:val="single" w:color="000000" w:sz="4" w:space="0"/>
              <w:bottom w:val="nil"/>
              <w:right w:val="single" w:color="000000" w:sz="4" w:space="0"/>
            </w:tcBorders>
            <w:vAlign w:val="center"/>
            <w:hideMark/>
          </w:tcPr>
          <w:p w:rsidRPr="00EC6B8C" w:rsidR="00EC6B8C" w:rsidP="00D97D31" w:rsidRDefault="00EC6B8C" w14:paraId="5A444E45" w14:textId="77777777">
            <w:pPr>
              <w:suppressAutoHyphens w:val="0"/>
              <w:spacing w:after="0"/>
              <w:rPr>
                <w:rFonts w:ascii="Calibri" w:hAnsi="Calibri" w:eastAsia="Times New Roman" w:cs="Calibri"/>
                <w:color w:val="000000"/>
                <w:sz w:val="16"/>
                <w:szCs w:val="16"/>
                <w:lang w:eastAsia="es-CO"/>
              </w:rPr>
            </w:pPr>
          </w:p>
        </w:tc>
        <w:tc>
          <w:tcPr>
            <w:tcW w:w="1340" w:type="dxa"/>
            <w:tcBorders>
              <w:top w:val="single" w:color="000000" w:sz="4" w:space="0"/>
              <w:left w:val="single" w:color="000000" w:sz="4" w:space="0"/>
              <w:bottom w:val="single" w:color="000000" w:sz="8" w:space="0"/>
              <w:right w:val="single" w:color="000000" w:sz="4" w:space="0"/>
            </w:tcBorders>
            <w:vAlign w:val="center"/>
            <w:hideMark/>
          </w:tcPr>
          <w:p w:rsidRPr="00EC6B8C" w:rsidR="00EC6B8C" w:rsidP="00D97D31" w:rsidRDefault="00EC6B8C" w14:paraId="097BA302" w14:textId="77777777">
            <w:pPr>
              <w:suppressAutoHyphens w:val="0"/>
              <w:spacing w:after="0"/>
              <w:rPr>
                <w:rFonts w:ascii="Calibri" w:hAnsi="Calibri" w:eastAsia="Times New Roman" w:cs="Calibri"/>
                <w:color w:val="000000"/>
                <w:sz w:val="16"/>
                <w:szCs w:val="16"/>
                <w:lang w:eastAsia="es-CO"/>
              </w:rPr>
            </w:pPr>
            <w:r w:rsidRPr="00EC6B8C">
              <w:rPr>
                <w:rFonts w:ascii="Calibri" w:hAnsi="Calibri" w:eastAsia="Times New Roman" w:cs="Calibri"/>
                <w:color w:val="000000"/>
                <w:sz w:val="16"/>
                <w:szCs w:val="16"/>
                <w:lang w:eastAsia="es-CO"/>
              </w:rPr>
              <w:t>1.1.4 Realizar seguimiento a la ejecución de los planes, programas y proyectos</w:t>
            </w:r>
          </w:p>
        </w:tc>
        <w:tc>
          <w:tcPr>
            <w:tcW w:w="850" w:type="dxa"/>
            <w:tcBorders>
              <w:top w:val="single" w:color="000000" w:sz="4" w:space="0"/>
              <w:left w:val="single" w:color="000000" w:sz="4" w:space="0"/>
              <w:bottom w:val="single" w:color="000000" w:sz="4" w:space="0"/>
              <w:right w:val="single" w:color="000000" w:sz="4" w:space="0"/>
            </w:tcBorders>
            <w:vAlign w:val="center"/>
            <w:hideMark/>
          </w:tcPr>
          <w:p w:rsidRPr="00EC6B8C" w:rsidR="00EC6B8C" w:rsidP="00D97D31" w:rsidRDefault="00EC6B8C" w14:paraId="67293374" w14:textId="77777777">
            <w:pPr>
              <w:suppressAutoHyphens w:val="0"/>
              <w:spacing w:after="0"/>
              <w:rPr>
                <w:rFonts w:ascii="Calibri" w:hAnsi="Calibri" w:eastAsia="Times New Roman" w:cs="Calibri"/>
                <w:color w:val="000000"/>
                <w:sz w:val="16"/>
                <w:szCs w:val="16"/>
                <w:lang w:eastAsia="es-CO"/>
              </w:rPr>
            </w:pPr>
            <w:r w:rsidRPr="00EC6B8C">
              <w:rPr>
                <w:rFonts w:ascii="Calibri" w:hAnsi="Calibri" w:eastAsia="Times New Roman" w:cs="Calibri"/>
                <w:color w:val="000000"/>
                <w:sz w:val="16"/>
                <w:szCs w:val="16"/>
                <w:lang w:eastAsia="es-CO"/>
              </w:rPr>
              <w:t>Inversión</w:t>
            </w:r>
          </w:p>
        </w:tc>
        <w:tc>
          <w:tcPr>
            <w:tcW w:w="915" w:type="dxa"/>
            <w:tcBorders>
              <w:top w:val="single" w:color="000000" w:sz="4" w:space="0"/>
              <w:left w:val="single" w:color="000000" w:sz="4" w:space="0"/>
              <w:bottom w:val="single" w:color="000000" w:sz="4" w:space="0"/>
              <w:right w:val="single" w:color="000000" w:sz="4" w:space="0"/>
            </w:tcBorders>
            <w:vAlign w:val="center"/>
            <w:hideMark/>
          </w:tcPr>
          <w:p w:rsidRPr="00EC6B8C" w:rsidR="00EC6B8C" w:rsidP="00D97D31" w:rsidRDefault="00EC6B8C" w14:paraId="32A7DE08" w14:textId="77777777">
            <w:pPr>
              <w:suppressAutoHyphens w:val="0"/>
              <w:spacing w:after="0"/>
              <w:jc w:val="center"/>
              <w:rPr>
                <w:rFonts w:ascii="Calibri" w:hAnsi="Calibri" w:eastAsia="Times New Roman" w:cs="Calibri"/>
                <w:color w:val="000000"/>
                <w:sz w:val="16"/>
                <w:szCs w:val="16"/>
                <w:lang w:eastAsia="es-CO"/>
              </w:rPr>
            </w:pPr>
            <w:r w:rsidRPr="00EC6B8C">
              <w:rPr>
                <w:rFonts w:ascii="Calibri" w:hAnsi="Calibri" w:eastAsia="Times New Roman" w:cs="Calibri"/>
                <w:color w:val="000000"/>
                <w:sz w:val="16"/>
                <w:szCs w:val="16"/>
                <w:lang w:eastAsia="es-CO"/>
              </w:rPr>
              <w:t>Si</w:t>
            </w:r>
          </w:p>
        </w:tc>
        <w:tc>
          <w:tcPr>
            <w:tcW w:w="1233" w:type="dxa"/>
            <w:vMerge/>
            <w:tcBorders>
              <w:top w:val="single" w:color="000000" w:sz="4" w:space="0"/>
              <w:left w:val="single" w:color="000000" w:sz="4" w:space="0"/>
              <w:bottom w:val="nil"/>
              <w:right w:val="single" w:color="000000" w:sz="4" w:space="0"/>
            </w:tcBorders>
            <w:vAlign w:val="center"/>
            <w:hideMark/>
          </w:tcPr>
          <w:p w:rsidRPr="00EC6B8C" w:rsidR="00EC6B8C" w:rsidP="00D97D31" w:rsidRDefault="00EC6B8C" w14:paraId="6CFD9A2B" w14:textId="77777777">
            <w:pPr>
              <w:suppressAutoHyphens w:val="0"/>
              <w:spacing w:after="0"/>
              <w:rPr>
                <w:rFonts w:ascii="Calibri" w:hAnsi="Calibri" w:eastAsia="Times New Roman" w:cs="Calibri"/>
                <w:color w:val="000000"/>
                <w:sz w:val="16"/>
                <w:szCs w:val="16"/>
                <w:lang w:eastAsia="es-CO"/>
              </w:rPr>
            </w:pPr>
          </w:p>
        </w:tc>
        <w:tc>
          <w:tcPr>
            <w:tcW w:w="1418" w:type="dxa"/>
            <w:tcBorders>
              <w:top w:val="single" w:color="000000" w:sz="4" w:space="0"/>
              <w:left w:val="single" w:color="000000" w:sz="4" w:space="0"/>
              <w:bottom w:val="single" w:color="000000" w:sz="4" w:space="0"/>
              <w:right w:val="single" w:color="auto" w:sz="12" w:space="0"/>
            </w:tcBorders>
            <w:noWrap/>
            <w:vAlign w:val="center"/>
            <w:hideMark/>
          </w:tcPr>
          <w:p w:rsidRPr="00F33318" w:rsidR="00EC6B8C" w:rsidP="00D97D31" w:rsidRDefault="00EC6B8C" w14:paraId="5810457A" w14:textId="77777777">
            <w:pPr>
              <w:suppressAutoHyphens w:val="0"/>
              <w:spacing w:after="0"/>
              <w:rPr>
                <w:rFonts w:ascii="Calibri" w:hAnsi="Calibri" w:eastAsia="Times New Roman" w:cs="Calibri"/>
                <w:color w:val="000000"/>
                <w:sz w:val="16"/>
                <w:szCs w:val="16"/>
                <w:highlight w:val="yellow"/>
                <w:lang w:eastAsia="es-CO"/>
              </w:rPr>
            </w:pPr>
            <w:r w:rsidRPr="00F33318">
              <w:rPr>
                <w:rFonts w:ascii="Calibri" w:hAnsi="Calibri" w:eastAsia="Times New Roman" w:cs="Calibri"/>
                <w:color w:val="000000"/>
                <w:sz w:val="16"/>
                <w:szCs w:val="16"/>
                <w:highlight w:val="yellow"/>
                <w:lang w:eastAsia="es-CO"/>
              </w:rPr>
              <w:t>$ 13,735,381,039</w:t>
            </w:r>
          </w:p>
        </w:tc>
      </w:tr>
      <w:tr w:rsidRPr="00EC6B8C" w:rsidR="008B72A4" w:rsidTr="00D877D0" w14:paraId="679E6949" w14:textId="77777777">
        <w:trPr>
          <w:gridAfter w:val="2"/>
          <w:wAfter w:w="68" w:type="dxa"/>
          <w:trHeight w:val="615"/>
        </w:trPr>
        <w:tc>
          <w:tcPr>
            <w:tcW w:w="993" w:type="dxa"/>
            <w:vMerge/>
            <w:tcBorders>
              <w:top w:val="single" w:color="000000" w:sz="4" w:space="0"/>
              <w:left w:val="single" w:color="auto" w:sz="12" w:space="0"/>
              <w:bottom w:val="single" w:color="auto" w:sz="12" w:space="0"/>
              <w:right w:val="single" w:color="000000" w:sz="4" w:space="0"/>
            </w:tcBorders>
            <w:vAlign w:val="center"/>
            <w:hideMark/>
          </w:tcPr>
          <w:p w:rsidRPr="00EC6B8C" w:rsidR="00EC6B8C" w:rsidP="00D97D31" w:rsidRDefault="00EC6B8C" w14:paraId="3872EE91" w14:textId="77777777">
            <w:pPr>
              <w:suppressAutoHyphens w:val="0"/>
              <w:spacing w:after="0"/>
              <w:rPr>
                <w:rFonts w:ascii="Calibri" w:hAnsi="Calibri" w:eastAsia="Times New Roman" w:cs="Calibri"/>
                <w:color w:val="000000"/>
                <w:sz w:val="16"/>
                <w:szCs w:val="16"/>
                <w:lang w:eastAsia="es-CO"/>
              </w:rPr>
            </w:pPr>
          </w:p>
        </w:tc>
        <w:tc>
          <w:tcPr>
            <w:tcW w:w="1499" w:type="dxa"/>
            <w:vMerge/>
            <w:tcBorders>
              <w:top w:val="single" w:color="000000" w:sz="4" w:space="0"/>
              <w:left w:val="single" w:color="000000" w:sz="4" w:space="0"/>
              <w:bottom w:val="single" w:color="auto" w:sz="12" w:space="0"/>
              <w:right w:val="single" w:color="000000" w:sz="4" w:space="0"/>
            </w:tcBorders>
            <w:vAlign w:val="center"/>
            <w:hideMark/>
          </w:tcPr>
          <w:p w:rsidRPr="00EC6B8C" w:rsidR="00EC6B8C" w:rsidP="00D97D31" w:rsidRDefault="00EC6B8C" w14:paraId="2C36F863" w14:textId="77777777">
            <w:pPr>
              <w:suppressAutoHyphens w:val="0"/>
              <w:spacing w:after="0"/>
              <w:rPr>
                <w:rFonts w:ascii="Calibri" w:hAnsi="Calibri" w:eastAsia="Times New Roman" w:cs="Calibri"/>
                <w:color w:val="000000"/>
                <w:sz w:val="16"/>
                <w:szCs w:val="16"/>
                <w:lang w:eastAsia="es-CO"/>
              </w:rPr>
            </w:pPr>
          </w:p>
        </w:tc>
        <w:tc>
          <w:tcPr>
            <w:tcW w:w="851" w:type="dxa"/>
            <w:vMerge/>
            <w:tcBorders>
              <w:top w:val="nil"/>
              <w:left w:val="single" w:color="000000" w:sz="4" w:space="0"/>
              <w:bottom w:val="single" w:color="auto" w:sz="12" w:space="0"/>
              <w:right w:val="single" w:color="000000" w:sz="4" w:space="0"/>
            </w:tcBorders>
            <w:vAlign w:val="center"/>
            <w:hideMark/>
          </w:tcPr>
          <w:p w:rsidRPr="00EC6B8C" w:rsidR="00EC6B8C" w:rsidP="00D97D31" w:rsidRDefault="00EC6B8C" w14:paraId="53E3B1ED" w14:textId="77777777">
            <w:pPr>
              <w:suppressAutoHyphens w:val="0"/>
              <w:spacing w:after="0"/>
              <w:rPr>
                <w:rFonts w:ascii="Calibri" w:hAnsi="Calibri" w:eastAsia="Times New Roman" w:cs="Calibri"/>
                <w:color w:val="000000"/>
                <w:sz w:val="16"/>
                <w:szCs w:val="16"/>
                <w:lang w:eastAsia="es-CO"/>
              </w:rPr>
            </w:pPr>
          </w:p>
        </w:tc>
        <w:tc>
          <w:tcPr>
            <w:tcW w:w="980" w:type="dxa"/>
            <w:vMerge/>
            <w:tcBorders>
              <w:top w:val="single" w:color="000000" w:sz="4" w:space="0"/>
              <w:left w:val="single" w:color="000000" w:sz="4" w:space="0"/>
              <w:bottom w:val="single" w:color="auto" w:sz="12" w:space="0"/>
              <w:right w:val="single" w:color="000000" w:sz="4" w:space="0"/>
            </w:tcBorders>
            <w:vAlign w:val="center"/>
            <w:hideMark/>
          </w:tcPr>
          <w:p w:rsidRPr="00EC6B8C" w:rsidR="00EC6B8C" w:rsidP="00D97D31" w:rsidRDefault="00EC6B8C" w14:paraId="612DA145" w14:textId="77777777">
            <w:pPr>
              <w:suppressAutoHyphens w:val="0"/>
              <w:spacing w:after="0"/>
              <w:rPr>
                <w:rFonts w:ascii="Calibri" w:hAnsi="Calibri" w:eastAsia="Times New Roman" w:cs="Calibri"/>
                <w:color w:val="000000"/>
                <w:sz w:val="16"/>
                <w:szCs w:val="16"/>
                <w:lang w:eastAsia="es-CO"/>
              </w:rPr>
            </w:pPr>
          </w:p>
        </w:tc>
        <w:tc>
          <w:tcPr>
            <w:tcW w:w="980" w:type="dxa"/>
            <w:vMerge/>
            <w:tcBorders>
              <w:top w:val="single" w:color="000000" w:sz="4" w:space="0"/>
              <w:left w:val="single" w:color="000000" w:sz="4" w:space="0"/>
              <w:bottom w:val="single" w:color="auto" w:sz="12" w:space="0"/>
              <w:right w:val="single" w:color="000000" w:sz="4" w:space="0"/>
            </w:tcBorders>
            <w:vAlign w:val="center"/>
            <w:hideMark/>
          </w:tcPr>
          <w:p w:rsidRPr="00EC6B8C" w:rsidR="00EC6B8C" w:rsidP="00D97D31" w:rsidRDefault="00EC6B8C" w14:paraId="2E90BB8B" w14:textId="77777777">
            <w:pPr>
              <w:suppressAutoHyphens w:val="0"/>
              <w:spacing w:after="0"/>
              <w:rPr>
                <w:rFonts w:ascii="Calibri" w:hAnsi="Calibri" w:eastAsia="Times New Roman" w:cs="Calibri"/>
                <w:color w:val="000000"/>
                <w:sz w:val="16"/>
                <w:szCs w:val="16"/>
                <w:lang w:eastAsia="es-CO"/>
              </w:rPr>
            </w:pPr>
          </w:p>
        </w:tc>
        <w:tc>
          <w:tcPr>
            <w:tcW w:w="1340" w:type="dxa"/>
            <w:tcBorders>
              <w:top w:val="single" w:color="000000" w:sz="4" w:space="0"/>
              <w:left w:val="single" w:color="000000" w:sz="4" w:space="0"/>
              <w:bottom w:val="single" w:color="auto" w:sz="12" w:space="0"/>
              <w:right w:val="single" w:color="000000" w:sz="4" w:space="0"/>
            </w:tcBorders>
            <w:vAlign w:val="center"/>
            <w:hideMark/>
          </w:tcPr>
          <w:p w:rsidRPr="00EC6B8C" w:rsidR="00EC6B8C" w:rsidP="00D97D31" w:rsidRDefault="00EC6B8C" w14:paraId="0177976C" w14:textId="77777777">
            <w:pPr>
              <w:suppressAutoHyphens w:val="0"/>
              <w:spacing w:after="0"/>
              <w:rPr>
                <w:rFonts w:ascii="Calibri" w:hAnsi="Calibri" w:eastAsia="Times New Roman" w:cs="Calibri"/>
                <w:color w:val="000000"/>
                <w:sz w:val="16"/>
                <w:szCs w:val="16"/>
                <w:lang w:eastAsia="es-CO"/>
              </w:rPr>
            </w:pPr>
            <w:r w:rsidRPr="00EC6B8C">
              <w:rPr>
                <w:rFonts w:ascii="Calibri" w:hAnsi="Calibri" w:eastAsia="Times New Roman" w:cs="Calibri"/>
                <w:color w:val="000000"/>
                <w:sz w:val="16"/>
                <w:szCs w:val="16"/>
                <w:lang w:eastAsia="es-CO"/>
              </w:rPr>
              <w:t>1.1.5 Pago pasivos exigibles - Vigencias expiradas</w:t>
            </w:r>
          </w:p>
        </w:tc>
        <w:tc>
          <w:tcPr>
            <w:tcW w:w="850" w:type="dxa"/>
            <w:tcBorders>
              <w:top w:val="single" w:color="000000" w:sz="4" w:space="0"/>
              <w:left w:val="single" w:color="000000" w:sz="4" w:space="0"/>
              <w:bottom w:val="single" w:color="auto" w:sz="12" w:space="0"/>
              <w:right w:val="single" w:color="000000" w:sz="4" w:space="0"/>
            </w:tcBorders>
            <w:vAlign w:val="center"/>
            <w:hideMark/>
          </w:tcPr>
          <w:p w:rsidRPr="00EC6B8C" w:rsidR="00EC6B8C" w:rsidP="00D97D31" w:rsidRDefault="00EC6B8C" w14:paraId="63F8A821" w14:textId="77777777">
            <w:pPr>
              <w:suppressAutoHyphens w:val="0"/>
              <w:spacing w:after="0"/>
              <w:rPr>
                <w:rFonts w:ascii="Calibri" w:hAnsi="Calibri" w:eastAsia="Times New Roman" w:cs="Calibri"/>
                <w:color w:val="000000"/>
                <w:sz w:val="16"/>
                <w:szCs w:val="16"/>
                <w:lang w:eastAsia="es-CO"/>
              </w:rPr>
            </w:pPr>
            <w:r w:rsidRPr="00EC6B8C">
              <w:rPr>
                <w:rFonts w:ascii="Calibri" w:hAnsi="Calibri" w:eastAsia="Times New Roman" w:cs="Calibri"/>
                <w:color w:val="000000"/>
                <w:sz w:val="16"/>
                <w:szCs w:val="16"/>
                <w:lang w:eastAsia="es-CO"/>
              </w:rPr>
              <w:t>Inversión</w:t>
            </w:r>
          </w:p>
        </w:tc>
        <w:tc>
          <w:tcPr>
            <w:tcW w:w="915" w:type="dxa"/>
            <w:tcBorders>
              <w:top w:val="single" w:color="000000" w:sz="4" w:space="0"/>
              <w:left w:val="single" w:color="000000" w:sz="4" w:space="0"/>
              <w:bottom w:val="single" w:color="auto" w:sz="12" w:space="0"/>
              <w:right w:val="single" w:color="000000" w:sz="4" w:space="0"/>
            </w:tcBorders>
            <w:vAlign w:val="center"/>
            <w:hideMark/>
          </w:tcPr>
          <w:p w:rsidRPr="00EC6B8C" w:rsidR="00EC6B8C" w:rsidP="00D97D31" w:rsidRDefault="00EC6B8C" w14:paraId="5556E609" w14:textId="77777777">
            <w:pPr>
              <w:suppressAutoHyphens w:val="0"/>
              <w:spacing w:after="0"/>
              <w:jc w:val="center"/>
              <w:rPr>
                <w:rFonts w:ascii="Calibri" w:hAnsi="Calibri" w:eastAsia="Times New Roman" w:cs="Calibri"/>
                <w:color w:val="000000"/>
                <w:sz w:val="16"/>
                <w:szCs w:val="16"/>
                <w:lang w:eastAsia="es-CO"/>
              </w:rPr>
            </w:pPr>
            <w:r w:rsidRPr="00EC6B8C">
              <w:rPr>
                <w:rFonts w:ascii="Calibri" w:hAnsi="Calibri" w:eastAsia="Times New Roman" w:cs="Calibri"/>
                <w:color w:val="000000"/>
                <w:sz w:val="16"/>
                <w:szCs w:val="16"/>
                <w:lang w:eastAsia="es-CO"/>
              </w:rPr>
              <w:t>Si</w:t>
            </w:r>
          </w:p>
        </w:tc>
        <w:tc>
          <w:tcPr>
            <w:tcW w:w="1233" w:type="dxa"/>
            <w:vMerge/>
            <w:tcBorders>
              <w:top w:val="single" w:color="000000" w:sz="4" w:space="0"/>
              <w:left w:val="single" w:color="000000" w:sz="4" w:space="0"/>
              <w:bottom w:val="single" w:color="auto" w:sz="12" w:space="0"/>
              <w:right w:val="single" w:color="000000" w:sz="4" w:space="0"/>
            </w:tcBorders>
            <w:vAlign w:val="center"/>
            <w:hideMark/>
          </w:tcPr>
          <w:p w:rsidRPr="00EC6B8C" w:rsidR="00EC6B8C" w:rsidP="00D97D31" w:rsidRDefault="00EC6B8C" w14:paraId="01C3C9BB" w14:textId="77777777">
            <w:pPr>
              <w:suppressAutoHyphens w:val="0"/>
              <w:spacing w:after="0"/>
              <w:rPr>
                <w:rFonts w:ascii="Calibri" w:hAnsi="Calibri" w:eastAsia="Times New Roman" w:cs="Calibri"/>
                <w:color w:val="000000"/>
                <w:sz w:val="16"/>
                <w:szCs w:val="16"/>
                <w:lang w:eastAsia="es-CO"/>
              </w:rPr>
            </w:pPr>
          </w:p>
        </w:tc>
        <w:tc>
          <w:tcPr>
            <w:tcW w:w="1418" w:type="dxa"/>
            <w:tcBorders>
              <w:top w:val="single" w:color="000000" w:sz="4" w:space="0"/>
              <w:left w:val="single" w:color="000000" w:sz="4" w:space="0"/>
              <w:bottom w:val="single" w:color="auto" w:sz="12" w:space="0"/>
              <w:right w:val="single" w:color="auto" w:sz="12" w:space="0"/>
            </w:tcBorders>
            <w:noWrap/>
            <w:vAlign w:val="center"/>
            <w:hideMark/>
          </w:tcPr>
          <w:p w:rsidRPr="00EC6B8C" w:rsidR="00EC6B8C" w:rsidP="00D97D31" w:rsidRDefault="00EC6B8C" w14:paraId="4F1EB1F8" w14:textId="77777777">
            <w:pPr>
              <w:suppressAutoHyphens w:val="0"/>
              <w:spacing w:after="0"/>
              <w:rPr>
                <w:rFonts w:ascii="Calibri" w:hAnsi="Calibri" w:eastAsia="Times New Roman" w:cs="Calibri"/>
                <w:color w:val="000000"/>
                <w:sz w:val="16"/>
                <w:szCs w:val="16"/>
                <w:lang w:eastAsia="es-CO"/>
              </w:rPr>
            </w:pPr>
            <w:r w:rsidRPr="00EC6B8C">
              <w:rPr>
                <w:rFonts w:ascii="Calibri" w:hAnsi="Calibri" w:eastAsia="Times New Roman" w:cs="Calibri"/>
                <w:color w:val="000000"/>
                <w:sz w:val="16"/>
                <w:szCs w:val="16"/>
                <w:lang w:eastAsia="es-CO"/>
              </w:rPr>
              <w:t>$ 0</w:t>
            </w:r>
          </w:p>
        </w:tc>
      </w:tr>
    </w:tbl>
    <w:p w:rsidR="00D877D0" w:rsidP="00D97D31" w:rsidRDefault="00D877D0" w14:paraId="59734EFF" w14:textId="77777777">
      <w:pPr>
        <w:spacing w:after="0"/>
        <w:ind w:left="-426"/>
        <w:jc w:val="center"/>
        <w:rPr>
          <w:rFonts w:ascii="Calibri" w:hAnsi="Calibri" w:cs="Calibri"/>
        </w:rPr>
      </w:pPr>
      <w:r w:rsidRPr="009D13BA">
        <w:rPr>
          <w:b/>
          <w:bCs/>
          <w:i/>
          <w:iCs/>
          <w:sz w:val="18"/>
          <w:szCs w:val="18"/>
        </w:rPr>
        <w:t xml:space="preserve">Fuente: </w:t>
      </w:r>
      <w:r w:rsidRPr="009D13BA">
        <w:rPr>
          <w:sz w:val="18"/>
          <w:szCs w:val="18"/>
        </w:rPr>
        <w:t xml:space="preserve">PIIP – Meta de los proyectos de inversión </w:t>
      </w:r>
      <w:proofErr w:type="spellStart"/>
      <w:r w:rsidRPr="009D13BA">
        <w:rPr>
          <w:sz w:val="18"/>
          <w:szCs w:val="18"/>
        </w:rPr>
        <w:t>contracreditos</w:t>
      </w:r>
      <w:proofErr w:type="spellEnd"/>
    </w:p>
    <w:p w:rsidR="00C87DD0" w:rsidP="00D97D31" w:rsidRDefault="00C87DD0" w14:paraId="42505B50" w14:textId="5786EBC1">
      <w:pPr>
        <w:spacing w:beforeAutospacing="1" w:afterAutospacing="1"/>
        <w:jc w:val="both"/>
      </w:pPr>
      <w:r>
        <w:t xml:space="preserve">Conforme a lo dispuesto en las Tablas 2 y </w:t>
      </w:r>
      <w:r w:rsidR="00614E0B">
        <w:t xml:space="preserve">3 para el fondo FAZNI se tiene una apropiación vigente de $230 mil </w:t>
      </w:r>
      <w:r w:rsidR="00D80270">
        <w:t xml:space="preserve">millones los cuales se encuentran </w:t>
      </w:r>
      <w:r w:rsidR="00455FF0">
        <w:t>distribuidos</w:t>
      </w:r>
      <w:r w:rsidR="00D80270">
        <w:t xml:space="preserve"> en las actividades de </w:t>
      </w:r>
      <w:r w:rsidR="00455FF0">
        <w:t>financiación de proyectos para construcción de nueva infraestructura por un valor de $210 mil millones, $</w:t>
      </w:r>
      <w:r w:rsidR="00102DF1">
        <w:t xml:space="preserve">6 mil millones para asistencia técnica y por </w:t>
      </w:r>
      <w:r w:rsidR="00757F2F">
        <w:t>último</w:t>
      </w:r>
      <w:r w:rsidR="00102DF1">
        <w:t xml:space="preserve"> $13 mil millones para </w:t>
      </w:r>
      <w:r w:rsidR="003A524B">
        <w:t>el seguimiento a la ejecución de los proyectos.</w:t>
      </w:r>
    </w:p>
    <w:p w:rsidRPr="00342455" w:rsidR="00342455" w:rsidP="00D97D31" w:rsidRDefault="00342455" w14:paraId="3FC07F18" w14:textId="38756933">
      <w:pPr>
        <w:spacing w:after="0"/>
        <w:jc w:val="center"/>
        <w:rPr>
          <w:rFonts w:ascii="Calibri" w:hAnsi="Calibri" w:cs="Calibri"/>
          <w:b/>
        </w:rPr>
      </w:pPr>
      <w:r w:rsidRPr="00342455">
        <w:rPr>
          <w:rFonts w:ascii="Calibri" w:hAnsi="Calibri" w:cs="Calibri"/>
          <w:b/>
        </w:rPr>
        <w:t>Tabla 4. Metas de 2026 del proyecto de inversión BPIN 2022011000082</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6A0" w:firstRow="1" w:lastRow="0" w:firstColumn="1" w:lastColumn="0" w:noHBand="1" w:noVBand="1"/>
      </w:tblPr>
      <w:tblGrid>
        <w:gridCol w:w="4531"/>
        <w:gridCol w:w="3686"/>
        <w:gridCol w:w="1173"/>
      </w:tblGrid>
      <w:tr w:rsidRPr="00342455" w:rsidR="00342455" w:rsidTr="009B3E82" w14:paraId="507F6104" w14:textId="77777777">
        <w:trPr>
          <w:trHeight w:val="300"/>
        </w:trPr>
        <w:tc>
          <w:tcPr>
            <w:tcW w:w="4531" w:type="dxa"/>
            <w:shd w:val="clear" w:color="auto" w:fill="D9E2F3" w:themeFill="accent1" w:themeFillTint="33"/>
            <w:vAlign w:val="center"/>
          </w:tcPr>
          <w:p w:rsidRPr="00342455" w:rsidR="00342455" w:rsidP="00D97D31" w:rsidRDefault="00342455" w14:paraId="56D89628" w14:textId="77777777">
            <w:pPr>
              <w:spacing w:after="0"/>
              <w:jc w:val="center"/>
              <w:rPr>
                <w:b/>
                <w:bCs/>
              </w:rPr>
            </w:pPr>
            <w:r w:rsidRPr="00342455">
              <w:rPr>
                <w:b/>
                <w:bCs/>
              </w:rPr>
              <w:t>Proyecto de inversión</w:t>
            </w:r>
          </w:p>
        </w:tc>
        <w:tc>
          <w:tcPr>
            <w:tcW w:w="3686" w:type="dxa"/>
            <w:shd w:val="clear" w:color="auto" w:fill="D9E2F3" w:themeFill="accent1" w:themeFillTint="33"/>
            <w:vAlign w:val="center"/>
          </w:tcPr>
          <w:p w:rsidRPr="00342455" w:rsidR="00342455" w:rsidP="00D97D31" w:rsidRDefault="00342455" w14:paraId="4E055F96" w14:textId="77777777">
            <w:pPr>
              <w:spacing w:after="0"/>
              <w:jc w:val="center"/>
              <w:rPr>
                <w:b/>
                <w:bCs/>
              </w:rPr>
            </w:pPr>
            <w:r w:rsidRPr="00342455">
              <w:rPr>
                <w:b/>
                <w:bCs/>
              </w:rPr>
              <w:t>Indicador</w:t>
            </w:r>
          </w:p>
        </w:tc>
        <w:tc>
          <w:tcPr>
            <w:tcW w:w="1173" w:type="dxa"/>
            <w:shd w:val="clear" w:color="auto" w:fill="D9E2F3" w:themeFill="accent1" w:themeFillTint="33"/>
            <w:vAlign w:val="center"/>
          </w:tcPr>
          <w:p w:rsidRPr="00342455" w:rsidR="00342455" w:rsidP="00D97D31" w:rsidRDefault="00342455" w14:paraId="3F30DC47" w14:textId="77777777">
            <w:pPr>
              <w:spacing w:after="0"/>
              <w:jc w:val="center"/>
              <w:rPr>
                <w:b/>
                <w:bCs/>
              </w:rPr>
            </w:pPr>
            <w:r w:rsidRPr="00342455">
              <w:rPr>
                <w:b/>
                <w:bCs/>
              </w:rPr>
              <w:t>Meta 2026</w:t>
            </w:r>
          </w:p>
        </w:tc>
      </w:tr>
      <w:tr w:rsidRPr="00342455" w:rsidR="00342455" w:rsidTr="009B3E82" w14:paraId="5D0FA9BD" w14:textId="77777777">
        <w:trPr>
          <w:trHeight w:val="341"/>
        </w:trPr>
        <w:tc>
          <w:tcPr>
            <w:tcW w:w="4531" w:type="dxa"/>
            <w:vMerge w:val="restart"/>
          </w:tcPr>
          <w:p w:rsidRPr="00342455" w:rsidR="00342455" w:rsidP="00D97D31" w:rsidRDefault="00342455" w14:paraId="41B9AC65" w14:textId="77777777">
            <w:pPr>
              <w:spacing w:after="0"/>
            </w:pPr>
            <w:r w:rsidRPr="00342455">
              <w:rPr>
                <w:rFonts w:ascii="Calibri" w:hAnsi="Calibri" w:eastAsia="Calibri" w:cs="Calibri"/>
              </w:rPr>
              <w:t>Ampliación de la cobertura del servicio de energía eléctrica en las Zonas No Interconectadas – ZNI en el territorio Nacional</w:t>
            </w:r>
          </w:p>
          <w:p w:rsidRPr="00342455" w:rsidR="00342455" w:rsidP="00D97D31" w:rsidRDefault="00342455" w14:paraId="0B1785A5" w14:textId="77777777">
            <w:pPr>
              <w:spacing w:after="0"/>
            </w:pPr>
            <w:r w:rsidRPr="00342455">
              <w:t>FAZNI</w:t>
            </w:r>
          </w:p>
        </w:tc>
        <w:tc>
          <w:tcPr>
            <w:tcW w:w="3686" w:type="dxa"/>
          </w:tcPr>
          <w:p w:rsidRPr="00342455" w:rsidR="00342455" w:rsidP="00D97D31" w:rsidRDefault="00342455" w14:paraId="206ED473" w14:textId="77777777">
            <w:pPr>
              <w:spacing w:after="0"/>
            </w:pPr>
            <w:r w:rsidRPr="00342455">
              <w:t>Usuarios beneficiados con la ampliación de cobertura</w:t>
            </w:r>
          </w:p>
        </w:tc>
        <w:tc>
          <w:tcPr>
            <w:tcW w:w="1173" w:type="dxa"/>
          </w:tcPr>
          <w:p w:rsidRPr="00342455" w:rsidR="00342455" w:rsidP="00D97D31" w:rsidRDefault="00342455" w14:paraId="56D8FA85" w14:textId="77777777">
            <w:pPr>
              <w:spacing w:after="0"/>
              <w:jc w:val="center"/>
            </w:pPr>
            <w:r w:rsidRPr="00342455">
              <w:t>16.771</w:t>
            </w:r>
          </w:p>
        </w:tc>
      </w:tr>
      <w:tr w:rsidR="00342455" w:rsidTr="009B3E82" w14:paraId="5CC63E1B" w14:textId="77777777">
        <w:trPr>
          <w:trHeight w:val="330"/>
        </w:trPr>
        <w:tc>
          <w:tcPr>
            <w:tcW w:w="4531" w:type="dxa"/>
            <w:vMerge/>
          </w:tcPr>
          <w:p w:rsidRPr="00342455" w:rsidR="00342455" w:rsidP="00D97D31" w:rsidRDefault="00342455" w14:paraId="3CEFA74E" w14:textId="77777777">
            <w:pPr>
              <w:spacing w:after="0"/>
            </w:pPr>
          </w:p>
        </w:tc>
        <w:tc>
          <w:tcPr>
            <w:tcW w:w="3686" w:type="dxa"/>
          </w:tcPr>
          <w:p w:rsidRPr="00342455" w:rsidR="00342455" w:rsidP="00D97D31" w:rsidRDefault="00342455" w14:paraId="50F2278A" w14:textId="77777777">
            <w:pPr>
              <w:spacing w:after="0"/>
            </w:pPr>
            <w:r w:rsidRPr="00342455">
              <w:t>Usuarios beneficiados con el mejoramiento de la infraestructura existente</w:t>
            </w:r>
          </w:p>
        </w:tc>
        <w:tc>
          <w:tcPr>
            <w:tcW w:w="1173" w:type="dxa"/>
          </w:tcPr>
          <w:p w:rsidRPr="00342455" w:rsidR="00342455" w:rsidP="00D97D31" w:rsidRDefault="00342455" w14:paraId="74E3A88E" w14:textId="77777777">
            <w:pPr>
              <w:spacing w:after="0"/>
              <w:jc w:val="center"/>
            </w:pPr>
            <w:r w:rsidRPr="00342455">
              <w:t>0</w:t>
            </w:r>
          </w:p>
        </w:tc>
      </w:tr>
    </w:tbl>
    <w:p w:rsidRPr="0065391B" w:rsidR="0065391B" w:rsidP="00D97D31" w:rsidRDefault="0065391B" w14:paraId="2AB84C80" w14:textId="77777777">
      <w:pPr>
        <w:spacing w:after="0"/>
        <w:ind w:left="-426"/>
        <w:jc w:val="center"/>
        <w:rPr>
          <w:rFonts w:ascii="Calibri" w:hAnsi="Calibri" w:cs="Calibri"/>
        </w:rPr>
      </w:pPr>
      <w:r w:rsidRPr="0065391B">
        <w:rPr>
          <w:b/>
          <w:i/>
          <w:sz w:val="18"/>
          <w:szCs w:val="18"/>
        </w:rPr>
        <w:t xml:space="preserve">Fuente: </w:t>
      </w:r>
      <w:r w:rsidRPr="0065391B">
        <w:rPr>
          <w:sz w:val="18"/>
          <w:szCs w:val="18"/>
        </w:rPr>
        <w:t xml:space="preserve">PIIP – Meta de los proyectos de inversión </w:t>
      </w:r>
      <w:proofErr w:type="spellStart"/>
      <w:r w:rsidRPr="0065391B">
        <w:rPr>
          <w:sz w:val="18"/>
          <w:szCs w:val="18"/>
        </w:rPr>
        <w:t>contracreditos</w:t>
      </w:r>
      <w:proofErr w:type="spellEnd"/>
    </w:p>
    <w:p w:rsidR="00D233FF" w:rsidP="00D97D31" w:rsidRDefault="00B11232" w14:paraId="24B9D96D" w14:textId="16F14131">
      <w:pPr>
        <w:spacing w:beforeAutospacing="1" w:afterAutospacing="1"/>
        <w:jc w:val="both"/>
      </w:pPr>
      <w:r>
        <w:t xml:space="preserve">Conforme a la </w:t>
      </w:r>
      <w:r w:rsidRPr="00B11232">
        <w:rPr>
          <w:b/>
          <w:bCs/>
        </w:rPr>
        <w:t xml:space="preserve">Tabla </w:t>
      </w:r>
      <w:r w:rsidR="00342455">
        <w:rPr>
          <w:b/>
          <w:bCs/>
        </w:rPr>
        <w:t>4</w:t>
      </w:r>
      <w:r w:rsidRPr="00B11232">
        <w:rPr>
          <w:b/>
          <w:bCs/>
        </w:rPr>
        <w:t xml:space="preserve">, </w:t>
      </w:r>
      <w:r>
        <w:t xml:space="preserve">la meta correspondiente al proyecto de inversión BPIN 2022011000082 es de 16.771 usuarios beneficiados con la ampliación de cobertura ubicados en las Zonas no Interconectadas. </w:t>
      </w:r>
      <w:r w:rsidR="00FB0A7D">
        <w:t>Así mismo</w:t>
      </w:r>
      <w:r>
        <w:t xml:space="preserve">, conforme a los 49 contratos suscritos por el Ministerio de Minas y Energía y financiados a través del FAZNI que actualmente se encuentran vigentes, se logrará beneficiar para la vigencia 2026 un total de </w:t>
      </w:r>
      <w:r w:rsidRPr="003E1867">
        <w:t>16.771 usuarios</w:t>
      </w:r>
      <w:r>
        <w:t xml:space="preserve"> e</w:t>
      </w:r>
      <w:r w:rsidR="00265567">
        <w:t>n</w:t>
      </w:r>
      <w:r>
        <w:t xml:space="preserve"> 16 departamentos del territorio nacional por un rubro de  $ 215.343.434.192</w:t>
      </w:r>
      <w:r w:rsidR="00027651">
        <w:t>.</w:t>
      </w:r>
      <w:r w:rsidR="004131E4">
        <w:t xml:space="preserve"> </w:t>
      </w:r>
      <w:r w:rsidRPr="00972D7E" w:rsidR="00027651">
        <w:rPr>
          <w:highlight w:val="yellow"/>
        </w:rPr>
        <w:t xml:space="preserve">Este se </w:t>
      </w:r>
      <w:r w:rsidRPr="00972D7E" w:rsidR="008F4E97">
        <w:rPr>
          <w:highlight w:val="yellow"/>
        </w:rPr>
        <w:t>compromete del rubro presupuestal disponible de 2026</w:t>
      </w:r>
      <w:r w:rsidRPr="00972D7E" w:rsidR="00972D7E">
        <w:rPr>
          <w:highlight w:val="yellow"/>
        </w:rPr>
        <w:t xml:space="preserve">, </w:t>
      </w:r>
      <w:r w:rsidRPr="00972D7E" w:rsidR="0034743B">
        <w:rPr>
          <w:highlight w:val="yellow"/>
        </w:rPr>
        <w:t>$209,287,496,470.00</w:t>
      </w:r>
      <w:r w:rsidRPr="00972D7E" w:rsidR="00972D7E">
        <w:rPr>
          <w:highlight w:val="yellow"/>
        </w:rPr>
        <w:t xml:space="preserve">  de la actividad 1.1.2 y  $ 6,055,937,722.00 de la actividad 1.1.3.</w:t>
      </w:r>
      <w:r w:rsidR="0032428F">
        <w:t xml:space="preserve"> A su vez, </w:t>
      </w:r>
      <w:r w:rsidR="0098012C">
        <w:t xml:space="preserve">de la actividad 1.1.4  </w:t>
      </w:r>
      <w:r w:rsidR="00685EEC">
        <w:t xml:space="preserve">se </w:t>
      </w:r>
      <w:r w:rsidRPr="00685EEC" w:rsidR="00685EEC">
        <w:rPr>
          <w:highlight w:val="yellow"/>
        </w:rPr>
        <w:t xml:space="preserve">comprometió </w:t>
      </w:r>
      <w:r w:rsidRPr="00685EEC" w:rsidR="0032428F">
        <w:rPr>
          <w:highlight w:val="yellow"/>
        </w:rPr>
        <w:t>XXXX</w:t>
      </w:r>
      <w:r w:rsidR="0032428F">
        <w:t xml:space="preserve"> para la prestación de servicios de los profesionales que realizan las gestiones administrativas y de supervisión de los </w:t>
      </w:r>
      <w:r w:rsidR="005D695D">
        <w:t>fondos de inversión</w:t>
      </w:r>
      <w:r w:rsidR="00AD492D">
        <w:t xml:space="preserve">. </w:t>
      </w:r>
      <w:r w:rsidR="006174EB">
        <w:t xml:space="preserve">Finalmente, </w:t>
      </w:r>
      <w:r w:rsidR="00CA091A">
        <w:t>d</w:t>
      </w:r>
      <w:r w:rsidR="006174EB">
        <w:t>el presu</w:t>
      </w:r>
      <w:r w:rsidR="00CA091A">
        <w:t xml:space="preserve">puesto de la vigencia en mención se comprometió en la actividad </w:t>
      </w:r>
      <w:r w:rsidRPr="00BF0404" w:rsidR="00CA091A">
        <w:rPr>
          <w:highlight w:val="yellow"/>
        </w:rPr>
        <w:t>XXXX por un valor de XXX el pago de las vigencias expiradas aprobadas mediante el Comité de Administración del FAZNI (CAFAZNI) XXX.</w:t>
      </w:r>
      <w:r w:rsidR="00CA091A">
        <w:t xml:space="preserve"> </w:t>
      </w:r>
      <w:r w:rsidR="00254765">
        <w:t xml:space="preserve">Por ende, los compromisos para la vigencia 2026 suman un total de </w:t>
      </w:r>
      <w:r w:rsidRPr="007747DD" w:rsidR="007747DD">
        <w:t xml:space="preserve">$ </w:t>
      </w:r>
      <w:r w:rsidRPr="004131E4" w:rsidR="007747DD">
        <w:rPr>
          <w:highlight w:val="yellow"/>
        </w:rPr>
        <w:t>219.796.399.982 y teniendo</w:t>
      </w:r>
      <w:r w:rsidRPr="004131E4" w:rsidR="00254765">
        <w:rPr>
          <w:highlight w:val="yellow"/>
        </w:rPr>
        <w:t xml:space="preserve"> en cuenta que la </w:t>
      </w:r>
      <w:r w:rsidRPr="004131E4" w:rsidR="007747DD">
        <w:rPr>
          <w:highlight w:val="yellow"/>
        </w:rPr>
        <w:t>apropiación</w:t>
      </w:r>
      <w:r w:rsidRPr="004131E4" w:rsidR="00254765">
        <w:rPr>
          <w:highlight w:val="yellow"/>
        </w:rPr>
        <w:t xml:space="preserve"> vigente es </w:t>
      </w:r>
      <w:r w:rsidRPr="004131E4" w:rsidR="0026036C">
        <w:rPr>
          <w:highlight w:val="yellow"/>
        </w:rPr>
        <w:t>de $230.000.000.000</w:t>
      </w:r>
      <w:r w:rsidRPr="004131E4" w:rsidR="007747DD">
        <w:rPr>
          <w:highlight w:val="yellow"/>
        </w:rPr>
        <w:t xml:space="preserve"> hay disponible un valor de $ 10.203.600.01</w:t>
      </w:r>
      <w:r w:rsidRPr="004131E4" w:rsidR="004131E4">
        <w:rPr>
          <w:highlight w:val="yellow"/>
        </w:rPr>
        <w:t>8.</w:t>
      </w:r>
      <w:r w:rsidR="004131E4">
        <w:t xml:space="preserve"> </w:t>
      </w:r>
    </w:p>
    <w:p w:rsidR="004131E4" w:rsidP="00D97D31" w:rsidRDefault="004131E4" w14:paraId="5F0AC9F4" w14:textId="3BF28BF4">
      <w:pPr>
        <w:spacing w:beforeAutospacing="1" w:afterAutospacing="1"/>
        <w:jc w:val="both"/>
      </w:pPr>
      <w:r>
        <w:t xml:space="preserve">En la </w:t>
      </w:r>
      <w:r w:rsidRPr="00B11232">
        <w:rPr>
          <w:b/>
          <w:bCs/>
        </w:rPr>
        <w:t xml:space="preserve">Tabla </w:t>
      </w:r>
      <w:r>
        <w:rPr>
          <w:b/>
          <w:bCs/>
        </w:rPr>
        <w:t>5</w:t>
      </w:r>
      <w:r>
        <w:t xml:space="preserve"> se puede observar el detalle de los usuarios beneficiados para la vigencia 2026.</w:t>
      </w:r>
    </w:p>
    <w:p w:rsidR="00B11232" w:rsidP="00D97D31" w:rsidRDefault="00B11232" w14:paraId="58C12E08" w14:textId="5684F094">
      <w:pPr>
        <w:spacing w:beforeAutospacing="1" w:afterAutospacing="1"/>
        <w:ind w:left="360"/>
        <w:jc w:val="center"/>
        <w:rPr>
          <w:rFonts w:ascii="Calibri" w:hAnsi="Calibri" w:cs="Calibri"/>
          <w:b/>
          <w:bCs/>
        </w:rPr>
      </w:pPr>
      <w:r w:rsidRPr="00D233FF">
        <w:rPr>
          <w:rFonts w:ascii="Calibri" w:hAnsi="Calibri" w:cs="Calibri"/>
          <w:b/>
          <w:bCs/>
        </w:rPr>
        <w:t xml:space="preserve">Tabla </w:t>
      </w:r>
      <w:r w:rsidR="002F0C1B">
        <w:rPr>
          <w:rFonts w:ascii="Calibri" w:hAnsi="Calibri" w:cs="Calibri"/>
          <w:b/>
          <w:bCs/>
        </w:rPr>
        <w:t>5</w:t>
      </w:r>
      <w:r w:rsidRPr="00D233FF">
        <w:rPr>
          <w:rFonts w:ascii="Calibri" w:hAnsi="Calibri" w:cs="Calibri"/>
          <w:b/>
          <w:bCs/>
        </w:rPr>
        <w:t>. Usuarios beneficiados bajo la financiación del FAZNI</w:t>
      </w:r>
    </w:p>
    <w:tbl>
      <w:tblPr>
        <w:tblW w:w="75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2620"/>
        <w:gridCol w:w="1911"/>
        <w:gridCol w:w="2977"/>
      </w:tblGrid>
      <w:tr w:rsidRPr="000C0C5F" w:rsidR="00D233FF" w:rsidTr="009B3E82" w14:paraId="56EB38C6" w14:textId="77777777">
        <w:trPr>
          <w:trHeight w:val="288"/>
          <w:jc w:val="center"/>
        </w:trPr>
        <w:tc>
          <w:tcPr>
            <w:tcW w:w="2620" w:type="dxa"/>
            <w:shd w:val="clear" w:color="auto" w:fill="D9E2F3" w:themeFill="accent1" w:themeFillTint="33"/>
            <w:noWrap/>
            <w:vAlign w:val="center"/>
          </w:tcPr>
          <w:p w:rsidRPr="000C0C5F" w:rsidR="00D233FF" w:rsidP="00D97D31" w:rsidRDefault="00D233FF" w14:paraId="7568C91E" w14:textId="77777777">
            <w:pPr>
              <w:suppressAutoHyphens w:val="0"/>
              <w:spacing w:after="0"/>
              <w:ind w:firstLine="220" w:firstLineChars="100"/>
              <w:jc w:val="center"/>
              <w:rPr>
                <w:rFonts w:eastAsia="Times New Roman" w:cstheme="minorHAnsi"/>
                <w:b/>
                <w:bCs/>
                <w:color w:val="000000"/>
                <w:lang w:eastAsia="es-CO"/>
              </w:rPr>
            </w:pPr>
            <w:r w:rsidRPr="000C0C5F">
              <w:rPr>
                <w:rFonts w:eastAsia="Times New Roman" w:cstheme="minorHAnsi"/>
                <w:b/>
                <w:bCs/>
                <w:color w:val="000000"/>
                <w:lang w:eastAsia="es-CO"/>
              </w:rPr>
              <w:t>Departamento</w:t>
            </w:r>
          </w:p>
        </w:tc>
        <w:tc>
          <w:tcPr>
            <w:tcW w:w="1911" w:type="dxa"/>
            <w:shd w:val="clear" w:color="auto" w:fill="D9E2F3" w:themeFill="accent1" w:themeFillTint="33"/>
            <w:noWrap/>
            <w:vAlign w:val="center"/>
          </w:tcPr>
          <w:p w:rsidR="00D233FF" w:rsidP="00D97D31" w:rsidRDefault="00D233FF" w14:paraId="4FF88BD1" w14:textId="77777777">
            <w:pPr>
              <w:suppressAutoHyphens w:val="0"/>
              <w:spacing w:after="0"/>
              <w:jc w:val="center"/>
              <w:rPr>
                <w:rFonts w:eastAsia="Times New Roman" w:cstheme="minorHAnsi"/>
                <w:b/>
                <w:bCs/>
                <w:color w:val="000000"/>
                <w:lang w:eastAsia="es-CO"/>
              </w:rPr>
            </w:pPr>
            <w:r w:rsidRPr="000C0C5F">
              <w:rPr>
                <w:rFonts w:eastAsia="Times New Roman" w:cstheme="minorHAnsi"/>
                <w:b/>
                <w:bCs/>
                <w:color w:val="000000"/>
                <w:lang w:eastAsia="es-CO"/>
              </w:rPr>
              <w:t xml:space="preserve">Usuarios </w:t>
            </w:r>
          </w:p>
          <w:p w:rsidRPr="000C0C5F" w:rsidR="00D233FF" w:rsidP="00D97D31" w:rsidRDefault="00D233FF" w14:paraId="0D18BDF3" w14:textId="77777777">
            <w:pPr>
              <w:suppressAutoHyphens w:val="0"/>
              <w:spacing w:after="0"/>
              <w:jc w:val="center"/>
              <w:rPr>
                <w:rFonts w:eastAsia="Times New Roman" w:cstheme="minorHAnsi"/>
                <w:b/>
                <w:bCs/>
                <w:color w:val="000000"/>
                <w:lang w:eastAsia="es-CO"/>
              </w:rPr>
            </w:pPr>
            <w:r w:rsidRPr="000C0C5F">
              <w:rPr>
                <w:rFonts w:eastAsia="Times New Roman" w:cstheme="minorHAnsi"/>
                <w:b/>
                <w:bCs/>
                <w:color w:val="000000"/>
                <w:lang w:eastAsia="es-CO"/>
              </w:rPr>
              <w:t>Beneficiarios</w:t>
            </w:r>
          </w:p>
        </w:tc>
        <w:tc>
          <w:tcPr>
            <w:tcW w:w="2977" w:type="dxa"/>
            <w:shd w:val="clear" w:color="auto" w:fill="D9E2F3" w:themeFill="accent1" w:themeFillTint="33"/>
            <w:noWrap/>
            <w:vAlign w:val="center"/>
          </w:tcPr>
          <w:p w:rsidRPr="000C0C5F" w:rsidR="00D233FF" w:rsidP="00D97D31" w:rsidRDefault="00D233FF" w14:paraId="093BD1C5" w14:textId="77777777">
            <w:pPr>
              <w:suppressAutoHyphens w:val="0"/>
              <w:spacing w:after="0"/>
              <w:jc w:val="center"/>
              <w:rPr>
                <w:rFonts w:eastAsia="Times New Roman" w:cstheme="minorHAnsi"/>
                <w:b/>
                <w:bCs/>
                <w:color w:val="000000"/>
                <w:lang w:eastAsia="es-CO"/>
              </w:rPr>
            </w:pPr>
            <w:r w:rsidRPr="000C0C5F">
              <w:rPr>
                <w:rFonts w:eastAsia="Times New Roman" w:cstheme="minorHAnsi"/>
                <w:b/>
                <w:bCs/>
                <w:color w:val="000000"/>
                <w:lang w:eastAsia="es-CO"/>
              </w:rPr>
              <w:t>Presupuesto Vigencia 2026</w:t>
            </w:r>
          </w:p>
        </w:tc>
      </w:tr>
      <w:tr w:rsidRPr="000C0C5F" w:rsidR="00D233FF" w:rsidTr="009B3E82" w14:paraId="7A8F1D13" w14:textId="77777777">
        <w:trPr>
          <w:trHeight w:val="288"/>
          <w:jc w:val="center"/>
        </w:trPr>
        <w:tc>
          <w:tcPr>
            <w:tcW w:w="2620" w:type="dxa"/>
            <w:noWrap/>
            <w:vAlign w:val="center"/>
            <w:hideMark/>
          </w:tcPr>
          <w:p w:rsidRPr="000C0C5F" w:rsidR="00D233FF" w:rsidP="00D97D31" w:rsidRDefault="00D233FF" w14:paraId="18EDE557" w14:textId="77777777">
            <w:pPr>
              <w:suppressAutoHyphens w:val="0"/>
              <w:spacing w:after="0"/>
              <w:ind w:firstLine="220" w:firstLineChars="100"/>
              <w:jc w:val="center"/>
              <w:rPr>
                <w:rFonts w:eastAsia="Times New Roman" w:cstheme="minorHAnsi"/>
                <w:color w:val="000000"/>
                <w:lang w:eastAsia="es-CO"/>
              </w:rPr>
            </w:pPr>
            <w:r w:rsidRPr="000C0C5F">
              <w:rPr>
                <w:rFonts w:eastAsia="Times New Roman" w:cstheme="minorHAnsi"/>
                <w:color w:val="000000"/>
                <w:lang w:eastAsia="es-CO"/>
              </w:rPr>
              <w:t>Arauca</w:t>
            </w:r>
          </w:p>
        </w:tc>
        <w:tc>
          <w:tcPr>
            <w:tcW w:w="1911" w:type="dxa"/>
            <w:noWrap/>
            <w:vAlign w:val="center"/>
            <w:hideMark/>
          </w:tcPr>
          <w:p w:rsidRPr="000C0C5F" w:rsidR="00D233FF" w:rsidP="00D97D31" w:rsidRDefault="00D233FF" w14:paraId="7983F32C" w14:textId="77777777">
            <w:pPr>
              <w:suppressAutoHyphens w:val="0"/>
              <w:spacing w:after="0"/>
              <w:jc w:val="center"/>
              <w:rPr>
                <w:rFonts w:eastAsia="Times New Roman" w:cstheme="minorHAnsi"/>
                <w:color w:val="000000"/>
                <w:lang w:eastAsia="es-CO"/>
              </w:rPr>
            </w:pPr>
            <w:r w:rsidRPr="000C0C5F">
              <w:rPr>
                <w:rFonts w:eastAsia="Times New Roman" w:cstheme="minorHAnsi"/>
                <w:color w:val="000000"/>
                <w:lang w:eastAsia="es-CO"/>
              </w:rPr>
              <w:t>200</w:t>
            </w:r>
          </w:p>
        </w:tc>
        <w:tc>
          <w:tcPr>
            <w:tcW w:w="2977" w:type="dxa"/>
            <w:noWrap/>
            <w:vAlign w:val="center"/>
            <w:hideMark/>
          </w:tcPr>
          <w:p w:rsidRPr="000C0C5F" w:rsidR="00D233FF" w:rsidP="00D97D31" w:rsidRDefault="00D233FF" w14:paraId="5614E481" w14:textId="77777777">
            <w:pPr>
              <w:suppressAutoHyphens w:val="0"/>
              <w:spacing w:after="0"/>
              <w:jc w:val="center"/>
              <w:rPr>
                <w:rFonts w:eastAsia="Times New Roman" w:cstheme="minorHAnsi"/>
                <w:color w:val="000000"/>
                <w:lang w:eastAsia="es-CO"/>
              </w:rPr>
            </w:pPr>
            <w:r w:rsidRPr="000C0C5F">
              <w:rPr>
                <w:rFonts w:eastAsia="Times New Roman" w:cstheme="minorHAnsi"/>
                <w:color w:val="000000"/>
                <w:lang w:eastAsia="es-CO"/>
              </w:rPr>
              <w:t>$                3.484.281.535</w:t>
            </w:r>
          </w:p>
        </w:tc>
      </w:tr>
      <w:tr w:rsidRPr="000C0C5F" w:rsidR="00D233FF" w:rsidTr="009B3E82" w14:paraId="4360E552" w14:textId="77777777">
        <w:trPr>
          <w:trHeight w:val="288"/>
          <w:jc w:val="center"/>
        </w:trPr>
        <w:tc>
          <w:tcPr>
            <w:tcW w:w="2620" w:type="dxa"/>
            <w:noWrap/>
            <w:vAlign w:val="center"/>
            <w:hideMark/>
          </w:tcPr>
          <w:p w:rsidRPr="000C0C5F" w:rsidR="00D233FF" w:rsidP="00D97D31" w:rsidRDefault="00D233FF" w14:paraId="5F5B578A" w14:textId="77777777">
            <w:pPr>
              <w:suppressAutoHyphens w:val="0"/>
              <w:spacing w:after="0"/>
              <w:ind w:firstLine="220" w:firstLineChars="100"/>
              <w:jc w:val="center"/>
              <w:rPr>
                <w:rFonts w:eastAsia="Times New Roman" w:cstheme="minorHAnsi"/>
                <w:color w:val="000000"/>
                <w:lang w:eastAsia="es-CO"/>
              </w:rPr>
            </w:pPr>
            <w:r w:rsidRPr="000C0C5F">
              <w:rPr>
                <w:rFonts w:eastAsia="Times New Roman" w:cstheme="minorHAnsi"/>
                <w:color w:val="000000"/>
                <w:lang w:eastAsia="es-CO"/>
              </w:rPr>
              <w:t>Atlántico</w:t>
            </w:r>
          </w:p>
        </w:tc>
        <w:tc>
          <w:tcPr>
            <w:tcW w:w="1911" w:type="dxa"/>
            <w:noWrap/>
            <w:vAlign w:val="center"/>
            <w:hideMark/>
          </w:tcPr>
          <w:p w:rsidRPr="000C0C5F" w:rsidR="00D233FF" w:rsidP="00D97D31" w:rsidRDefault="00D233FF" w14:paraId="4E3A29DD" w14:textId="77777777">
            <w:pPr>
              <w:suppressAutoHyphens w:val="0"/>
              <w:spacing w:after="0"/>
              <w:jc w:val="center"/>
              <w:rPr>
                <w:rFonts w:eastAsia="Times New Roman" w:cstheme="minorHAnsi"/>
                <w:color w:val="000000"/>
                <w:lang w:eastAsia="es-CO"/>
              </w:rPr>
            </w:pPr>
            <w:r w:rsidRPr="000C0C5F">
              <w:rPr>
                <w:rFonts w:eastAsia="Times New Roman" w:cstheme="minorHAnsi"/>
                <w:color w:val="000000"/>
                <w:lang w:eastAsia="es-CO"/>
              </w:rPr>
              <w:t>170</w:t>
            </w:r>
          </w:p>
        </w:tc>
        <w:tc>
          <w:tcPr>
            <w:tcW w:w="2977" w:type="dxa"/>
            <w:noWrap/>
            <w:vAlign w:val="center"/>
            <w:hideMark/>
          </w:tcPr>
          <w:p w:rsidRPr="000C0C5F" w:rsidR="00D233FF" w:rsidP="00D97D31" w:rsidRDefault="00D233FF" w14:paraId="2864F03C" w14:textId="77777777">
            <w:pPr>
              <w:suppressAutoHyphens w:val="0"/>
              <w:spacing w:after="0"/>
              <w:jc w:val="center"/>
              <w:rPr>
                <w:rFonts w:eastAsia="Times New Roman" w:cstheme="minorHAnsi"/>
                <w:color w:val="000000"/>
                <w:lang w:eastAsia="es-CO"/>
              </w:rPr>
            </w:pPr>
            <w:r w:rsidRPr="000C0C5F">
              <w:rPr>
                <w:rFonts w:eastAsia="Times New Roman" w:cstheme="minorHAnsi"/>
                <w:color w:val="000000"/>
                <w:lang w:eastAsia="es-CO"/>
              </w:rPr>
              <w:t>$                1.886.921.222</w:t>
            </w:r>
          </w:p>
        </w:tc>
      </w:tr>
      <w:tr w:rsidRPr="000C0C5F" w:rsidR="00D233FF" w:rsidTr="009B3E82" w14:paraId="5EBFB0B7" w14:textId="77777777">
        <w:trPr>
          <w:trHeight w:val="288"/>
          <w:jc w:val="center"/>
        </w:trPr>
        <w:tc>
          <w:tcPr>
            <w:tcW w:w="2620" w:type="dxa"/>
            <w:noWrap/>
            <w:vAlign w:val="center"/>
            <w:hideMark/>
          </w:tcPr>
          <w:p w:rsidRPr="000C0C5F" w:rsidR="00D233FF" w:rsidP="00D97D31" w:rsidRDefault="00D233FF" w14:paraId="774A451D" w14:textId="77777777">
            <w:pPr>
              <w:suppressAutoHyphens w:val="0"/>
              <w:spacing w:after="0"/>
              <w:ind w:firstLine="220" w:firstLineChars="100"/>
              <w:jc w:val="center"/>
              <w:rPr>
                <w:rFonts w:eastAsia="Times New Roman" w:cstheme="minorHAnsi"/>
                <w:color w:val="000000"/>
                <w:lang w:eastAsia="es-CO"/>
              </w:rPr>
            </w:pPr>
            <w:r w:rsidRPr="000C0C5F">
              <w:rPr>
                <w:rFonts w:eastAsia="Times New Roman" w:cstheme="minorHAnsi"/>
                <w:color w:val="000000"/>
                <w:lang w:eastAsia="es-CO"/>
              </w:rPr>
              <w:t>Bolívar</w:t>
            </w:r>
          </w:p>
        </w:tc>
        <w:tc>
          <w:tcPr>
            <w:tcW w:w="1911" w:type="dxa"/>
            <w:noWrap/>
            <w:vAlign w:val="center"/>
            <w:hideMark/>
          </w:tcPr>
          <w:p w:rsidRPr="000C0C5F" w:rsidR="00D233FF" w:rsidP="00D97D31" w:rsidRDefault="00D233FF" w14:paraId="774A70ED" w14:textId="77777777">
            <w:pPr>
              <w:suppressAutoHyphens w:val="0"/>
              <w:spacing w:after="0"/>
              <w:jc w:val="center"/>
              <w:rPr>
                <w:rFonts w:eastAsia="Times New Roman" w:cstheme="minorHAnsi"/>
                <w:color w:val="000000"/>
                <w:lang w:eastAsia="es-CO"/>
              </w:rPr>
            </w:pPr>
            <w:r w:rsidRPr="000C0C5F">
              <w:rPr>
                <w:rFonts w:eastAsia="Times New Roman" w:cstheme="minorHAnsi"/>
                <w:color w:val="000000"/>
                <w:lang w:eastAsia="es-CO"/>
              </w:rPr>
              <w:t>783</w:t>
            </w:r>
          </w:p>
        </w:tc>
        <w:tc>
          <w:tcPr>
            <w:tcW w:w="2977" w:type="dxa"/>
            <w:noWrap/>
            <w:vAlign w:val="center"/>
            <w:hideMark/>
          </w:tcPr>
          <w:p w:rsidRPr="000C0C5F" w:rsidR="00D233FF" w:rsidP="00D97D31" w:rsidRDefault="00D233FF" w14:paraId="7DDB3CFD" w14:textId="77777777">
            <w:pPr>
              <w:suppressAutoHyphens w:val="0"/>
              <w:spacing w:after="0"/>
              <w:jc w:val="center"/>
              <w:rPr>
                <w:rFonts w:eastAsia="Times New Roman" w:cstheme="minorHAnsi"/>
                <w:color w:val="000000"/>
                <w:lang w:eastAsia="es-CO"/>
              </w:rPr>
            </w:pPr>
            <w:r w:rsidRPr="000C0C5F">
              <w:rPr>
                <w:rFonts w:eastAsia="Times New Roman" w:cstheme="minorHAnsi"/>
                <w:color w:val="000000"/>
                <w:lang w:eastAsia="es-CO"/>
              </w:rPr>
              <w:t>$              12.202.365.967</w:t>
            </w:r>
          </w:p>
        </w:tc>
      </w:tr>
      <w:tr w:rsidRPr="000C0C5F" w:rsidR="00D233FF" w:rsidTr="009B3E82" w14:paraId="4D5324C0" w14:textId="77777777">
        <w:trPr>
          <w:trHeight w:val="288"/>
          <w:jc w:val="center"/>
        </w:trPr>
        <w:tc>
          <w:tcPr>
            <w:tcW w:w="2620" w:type="dxa"/>
            <w:noWrap/>
            <w:vAlign w:val="center"/>
            <w:hideMark/>
          </w:tcPr>
          <w:p w:rsidRPr="000C0C5F" w:rsidR="00D233FF" w:rsidP="00D97D31" w:rsidRDefault="00D233FF" w14:paraId="7AEB5197" w14:textId="77777777">
            <w:pPr>
              <w:suppressAutoHyphens w:val="0"/>
              <w:spacing w:after="0"/>
              <w:ind w:firstLine="220" w:firstLineChars="100"/>
              <w:jc w:val="center"/>
              <w:rPr>
                <w:rFonts w:eastAsia="Times New Roman" w:cstheme="minorHAnsi"/>
                <w:color w:val="000000"/>
                <w:lang w:eastAsia="es-CO"/>
              </w:rPr>
            </w:pPr>
            <w:r w:rsidRPr="000C0C5F">
              <w:rPr>
                <w:rFonts w:eastAsia="Times New Roman" w:cstheme="minorHAnsi"/>
                <w:color w:val="000000"/>
                <w:lang w:eastAsia="es-CO"/>
              </w:rPr>
              <w:t>Casanare</w:t>
            </w:r>
          </w:p>
        </w:tc>
        <w:tc>
          <w:tcPr>
            <w:tcW w:w="1911" w:type="dxa"/>
            <w:noWrap/>
            <w:vAlign w:val="center"/>
            <w:hideMark/>
          </w:tcPr>
          <w:p w:rsidRPr="000C0C5F" w:rsidR="00D233FF" w:rsidP="00D97D31" w:rsidRDefault="00D233FF" w14:paraId="30A60A63" w14:textId="77777777">
            <w:pPr>
              <w:suppressAutoHyphens w:val="0"/>
              <w:spacing w:after="0"/>
              <w:jc w:val="center"/>
              <w:rPr>
                <w:rFonts w:eastAsia="Times New Roman" w:cstheme="minorHAnsi"/>
                <w:color w:val="000000"/>
                <w:lang w:eastAsia="es-CO"/>
              </w:rPr>
            </w:pPr>
            <w:r w:rsidRPr="000C0C5F">
              <w:rPr>
                <w:rFonts w:eastAsia="Times New Roman" w:cstheme="minorHAnsi"/>
                <w:color w:val="000000"/>
                <w:lang w:eastAsia="es-CO"/>
              </w:rPr>
              <w:t>303</w:t>
            </w:r>
          </w:p>
        </w:tc>
        <w:tc>
          <w:tcPr>
            <w:tcW w:w="2977" w:type="dxa"/>
            <w:noWrap/>
            <w:vAlign w:val="center"/>
            <w:hideMark/>
          </w:tcPr>
          <w:p w:rsidRPr="000C0C5F" w:rsidR="00D233FF" w:rsidP="00D97D31" w:rsidRDefault="00D233FF" w14:paraId="6CE94D9B" w14:textId="77777777">
            <w:pPr>
              <w:suppressAutoHyphens w:val="0"/>
              <w:spacing w:after="0"/>
              <w:jc w:val="center"/>
              <w:rPr>
                <w:rFonts w:eastAsia="Times New Roman" w:cstheme="minorHAnsi"/>
                <w:color w:val="000000"/>
                <w:lang w:eastAsia="es-CO"/>
              </w:rPr>
            </w:pPr>
            <w:r w:rsidRPr="000C0C5F">
              <w:rPr>
                <w:rFonts w:eastAsia="Times New Roman" w:cstheme="minorHAnsi"/>
                <w:color w:val="000000"/>
                <w:lang w:eastAsia="es-CO"/>
              </w:rPr>
              <w:t>$                3.883.189.132</w:t>
            </w:r>
          </w:p>
        </w:tc>
      </w:tr>
      <w:tr w:rsidRPr="000C0C5F" w:rsidR="00D233FF" w:rsidTr="009B3E82" w14:paraId="21ADF65D" w14:textId="77777777">
        <w:trPr>
          <w:trHeight w:val="288"/>
          <w:jc w:val="center"/>
        </w:trPr>
        <w:tc>
          <w:tcPr>
            <w:tcW w:w="2620" w:type="dxa"/>
            <w:noWrap/>
            <w:vAlign w:val="center"/>
            <w:hideMark/>
          </w:tcPr>
          <w:p w:rsidRPr="000C0C5F" w:rsidR="00D233FF" w:rsidP="00D97D31" w:rsidRDefault="00D233FF" w14:paraId="09B5B3E4" w14:textId="77777777">
            <w:pPr>
              <w:suppressAutoHyphens w:val="0"/>
              <w:spacing w:after="0"/>
              <w:ind w:firstLine="220" w:firstLineChars="100"/>
              <w:jc w:val="center"/>
              <w:rPr>
                <w:rFonts w:eastAsia="Times New Roman" w:cstheme="minorHAnsi"/>
                <w:color w:val="000000"/>
                <w:lang w:eastAsia="es-CO"/>
              </w:rPr>
            </w:pPr>
            <w:r w:rsidRPr="000C0C5F">
              <w:rPr>
                <w:rFonts w:eastAsia="Times New Roman" w:cstheme="minorHAnsi"/>
                <w:color w:val="000000"/>
                <w:lang w:eastAsia="es-CO"/>
              </w:rPr>
              <w:t>Cauca</w:t>
            </w:r>
          </w:p>
        </w:tc>
        <w:tc>
          <w:tcPr>
            <w:tcW w:w="1911" w:type="dxa"/>
            <w:noWrap/>
            <w:vAlign w:val="center"/>
            <w:hideMark/>
          </w:tcPr>
          <w:p w:rsidRPr="000C0C5F" w:rsidR="00D233FF" w:rsidP="00D97D31" w:rsidRDefault="00D233FF" w14:paraId="1AC2F903" w14:textId="77777777">
            <w:pPr>
              <w:suppressAutoHyphens w:val="0"/>
              <w:spacing w:after="0"/>
              <w:jc w:val="center"/>
              <w:rPr>
                <w:rFonts w:eastAsia="Times New Roman" w:cstheme="minorHAnsi"/>
                <w:color w:val="000000"/>
                <w:lang w:eastAsia="es-CO"/>
              </w:rPr>
            </w:pPr>
            <w:r w:rsidRPr="000C0C5F">
              <w:rPr>
                <w:rFonts w:eastAsia="Times New Roman" w:cstheme="minorHAnsi"/>
                <w:color w:val="000000"/>
                <w:lang w:eastAsia="es-CO"/>
              </w:rPr>
              <w:t>4.087</w:t>
            </w:r>
          </w:p>
        </w:tc>
        <w:tc>
          <w:tcPr>
            <w:tcW w:w="2977" w:type="dxa"/>
            <w:noWrap/>
            <w:vAlign w:val="center"/>
            <w:hideMark/>
          </w:tcPr>
          <w:p w:rsidRPr="000C0C5F" w:rsidR="00D233FF" w:rsidP="00D97D31" w:rsidRDefault="00D233FF" w14:paraId="44D7B0FF" w14:textId="77777777">
            <w:pPr>
              <w:suppressAutoHyphens w:val="0"/>
              <w:spacing w:after="0"/>
              <w:jc w:val="center"/>
              <w:rPr>
                <w:rFonts w:eastAsia="Times New Roman" w:cstheme="minorHAnsi"/>
                <w:color w:val="000000"/>
                <w:lang w:eastAsia="es-CO"/>
              </w:rPr>
            </w:pPr>
            <w:r w:rsidRPr="000C0C5F">
              <w:rPr>
                <w:rFonts w:eastAsia="Times New Roman" w:cstheme="minorHAnsi"/>
                <w:color w:val="000000"/>
                <w:lang w:eastAsia="es-CO"/>
              </w:rPr>
              <w:t>$              36.384.852.231</w:t>
            </w:r>
          </w:p>
        </w:tc>
      </w:tr>
      <w:tr w:rsidRPr="000C0C5F" w:rsidR="00D233FF" w:rsidTr="009B3E82" w14:paraId="5F02357C" w14:textId="77777777">
        <w:trPr>
          <w:trHeight w:val="288"/>
          <w:jc w:val="center"/>
        </w:trPr>
        <w:tc>
          <w:tcPr>
            <w:tcW w:w="2620" w:type="dxa"/>
            <w:noWrap/>
            <w:vAlign w:val="center"/>
            <w:hideMark/>
          </w:tcPr>
          <w:p w:rsidRPr="000C0C5F" w:rsidR="00D233FF" w:rsidP="00D97D31" w:rsidRDefault="00D233FF" w14:paraId="29D10B74" w14:textId="77777777">
            <w:pPr>
              <w:suppressAutoHyphens w:val="0"/>
              <w:spacing w:after="0"/>
              <w:ind w:firstLine="220" w:firstLineChars="100"/>
              <w:jc w:val="center"/>
              <w:rPr>
                <w:rFonts w:eastAsia="Times New Roman" w:cstheme="minorHAnsi"/>
                <w:color w:val="000000"/>
                <w:lang w:eastAsia="es-CO"/>
              </w:rPr>
            </w:pPr>
            <w:r w:rsidRPr="000C0C5F">
              <w:rPr>
                <w:rFonts w:eastAsia="Times New Roman" w:cstheme="minorHAnsi"/>
                <w:color w:val="000000"/>
                <w:lang w:eastAsia="es-CO"/>
              </w:rPr>
              <w:t>Cesar</w:t>
            </w:r>
          </w:p>
        </w:tc>
        <w:tc>
          <w:tcPr>
            <w:tcW w:w="1911" w:type="dxa"/>
            <w:noWrap/>
            <w:vAlign w:val="center"/>
            <w:hideMark/>
          </w:tcPr>
          <w:p w:rsidRPr="000C0C5F" w:rsidR="00D233FF" w:rsidP="00D97D31" w:rsidRDefault="00D233FF" w14:paraId="53B1276C" w14:textId="77777777">
            <w:pPr>
              <w:suppressAutoHyphens w:val="0"/>
              <w:spacing w:after="0"/>
              <w:jc w:val="center"/>
              <w:rPr>
                <w:rFonts w:eastAsia="Times New Roman" w:cstheme="minorHAnsi"/>
                <w:color w:val="000000"/>
                <w:lang w:eastAsia="es-CO"/>
              </w:rPr>
            </w:pPr>
            <w:r w:rsidRPr="000C0C5F">
              <w:rPr>
                <w:rFonts w:eastAsia="Times New Roman" w:cstheme="minorHAnsi"/>
                <w:color w:val="000000"/>
                <w:lang w:eastAsia="es-CO"/>
              </w:rPr>
              <w:t>755</w:t>
            </w:r>
          </w:p>
        </w:tc>
        <w:tc>
          <w:tcPr>
            <w:tcW w:w="2977" w:type="dxa"/>
            <w:noWrap/>
            <w:vAlign w:val="center"/>
            <w:hideMark/>
          </w:tcPr>
          <w:p w:rsidRPr="000C0C5F" w:rsidR="00D233FF" w:rsidP="00D97D31" w:rsidRDefault="00D233FF" w14:paraId="4E42429C" w14:textId="77777777">
            <w:pPr>
              <w:suppressAutoHyphens w:val="0"/>
              <w:spacing w:after="0"/>
              <w:jc w:val="center"/>
              <w:rPr>
                <w:rFonts w:eastAsia="Times New Roman" w:cstheme="minorHAnsi"/>
                <w:color w:val="000000"/>
                <w:lang w:eastAsia="es-CO"/>
              </w:rPr>
            </w:pPr>
            <w:r w:rsidRPr="000C0C5F">
              <w:rPr>
                <w:rFonts w:eastAsia="Times New Roman" w:cstheme="minorHAnsi"/>
                <w:color w:val="000000"/>
                <w:lang w:eastAsia="es-CO"/>
              </w:rPr>
              <w:t>$              12.361.408.598</w:t>
            </w:r>
          </w:p>
        </w:tc>
      </w:tr>
      <w:tr w:rsidRPr="000C0C5F" w:rsidR="00D233FF" w:rsidTr="009B3E82" w14:paraId="04529230" w14:textId="77777777">
        <w:trPr>
          <w:trHeight w:val="288"/>
          <w:jc w:val="center"/>
        </w:trPr>
        <w:tc>
          <w:tcPr>
            <w:tcW w:w="2620" w:type="dxa"/>
            <w:noWrap/>
            <w:vAlign w:val="center"/>
            <w:hideMark/>
          </w:tcPr>
          <w:p w:rsidRPr="000C0C5F" w:rsidR="00D233FF" w:rsidP="00D97D31" w:rsidRDefault="00D233FF" w14:paraId="72CAB594" w14:textId="77777777">
            <w:pPr>
              <w:suppressAutoHyphens w:val="0"/>
              <w:spacing w:after="0"/>
              <w:ind w:firstLine="220" w:firstLineChars="100"/>
              <w:jc w:val="center"/>
              <w:rPr>
                <w:rFonts w:eastAsia="Times New Roman" w:cstheme="minorHAnsi"/>
                <w:color w:val="000000"/>
                <w:lang w:eastAsia="es-CO"/>
              </w:rPr>
            </w:pPr>
            <w:r w:rsidRPr="000C0C5F">
              <w:rPr>
                <w:rFonts w:eastAsia="Times New Roman" w:cstheme="minorHAnsi"/>
                <w:color w:val="000000"/>
                <w:lang w:eastAsia="es-CO"/>
              </w:rPr>
              <w:t>Chocó</w:t>
            </w:r>
          </w:p>
        </w:tc>
        <w:tc>
          <w:tcPr>
            <w:tcW w:w="1911" w:type="dxa"/>
            <w:noWrap/>
            <w:vAlign w:val="center"/>
            <w:hideMark/>
          </w:tcPr>
          <w:p w:rsidRPr="000C0C5F" w:rsidR="00D233FF" w:rsidP="00D97D31" w:rsidRDefault="00D233FF" w14:paraId="65A4DF4E" w14:textId="77777777">
            <w:pPr>
              <w:suppressAutoHyphens w:val="0"/>
              <w:spacing w:after="0"/>
              <w:jc w:val="center"/>
              <w:rPr>
                <w:rFonts w:eastAsia="Times New Roman" w:cstheme="minorHAnsi"/>
                <w:color w:val="000000"/>
                <w:lang w:eastAsia="es-CO"/>
              </w:rPr>
            </w:pPr>
            <w:r w:rsidRPr="000C0C5F">
              <w:rPr>
                <w:rFonts w:eastAsia="Times New Roman" w:cstheme="minorHAnsi"/>
                <w:color w:val="000000"/>
                <w:lang w:eastAsia="es-CO"/>
              </w:rPr>
              <w:t>453</w:t>
            </w:r>
          </w:p>
        </w:tc>
        <w:tc>
          <w:tcPr>
            <w:tcW w:w="2977" w:type="dxa"/>
            <w:noWrap/>
            <w:vAlign w:val="center"/>
            <w:hideMark/>
          </w:tcPr>
          <w:p w:rsidRPr="000C0C5F" w:rsidR="00D233FF" w:rsidP="00D97D31" w:rsidRDefault="00D233FF" w14:paraId="0117ACF3" w14:textId="77777777">
            <w:pPr>
              <w:suppressAutoHyphens w:val="0"/>
              <w:spacing w:after="0"/>
              <w:jc w:val="center"/>
              <w:rPr>
                <w:rFonts w:eastAsia="Times New Roman" w:cstheme="minorHAnsi"/>
                <w:color w:val="000000"/>
                <w:lang w:eastAsia="es-CO"/>
              </w:rPr>
            </w:pPr>
            <w:r w:rsidRPr="000C0C5F">
              <w:rPr>
                <w:rFonts w:eastAsia="Times New Roman" w:cstheme="minorHAnsi"/>
                <w:color w:val="000000"/>
                <w:lang w:eastAsia="es-CO"/>
              </w:rPr>
              <w:t>$                3.545.319.832</w:t>
            </w:r>
          </w:p>
        </w:tc>
      </w:tr>
      <w:tr w:rsidRPr="000C0C5F" w:rsidR="00D233FF" w:rsidTr="009B3E82" w14:paraId="0F20818F" w14:textId="77777777">
        <w:trPr>
          <w:trHeight w:val="288"/>
          <w:jc w:val="center"/>
        </w:trPr>
        <w:tc>
          <w:tcPr>
            <w:tcW w:w="2620" w:type="dxa"/>
            <w:noWrap/>
            <w:vAlign w:val="center"/>
            <w:hideMark/>
          </w:tcPr>
          <w:p w:rsidRPr="000C0C5F" w:rsidR="00D233FF" w:rsidP="00D97D31" w:rsidRDefault="00D233FF" w14:paraId="6EBEFFD8" w14:textId="77777777">
            <w:pPr>
              <w:suppressAutoHyphens w:val="0"/>
              <w:spacing w:after="0"/>
              <w:ind w:firstLine="220" w:firstLineChars="100"/>
              <w:jc w:val="center"/>
              <w:rPr>
                <w:rFonts w:eastAsia="Times New Roman" w:cstheme="minorHAnsi"/>
                <w:color w:val="000000"/>
                <w:lang w:eastAsia="es-CO"/>
              </w:rPr>
            </w:pPr>
            <w:r w:rsidRPr="000C0C5F">
              <w:rPr>
                <w:rFonts w:eastAsia="Times New Roman" w:cstheme="minorHAnsi"/>
                <w:color w:val="000000"/>
                <w:lang w:eastAsia="es-CO"/>
              </w:rPr>
              <w:t>Córdoba</w:t>
            </w:r>
          </w:p>
        </w:tc>
        <w:tc>
          <w:tcPr>
            <w:tcW w:w="1911" w:type="dxa"/>
            <w:noWrap/>
            <w:vAlign w:val="center"/>
            <w:hideMark/>
          </w:tcPr>
          <w:p w:rsidRPr="000C0C5F" w:rsidR="00D233FF" w:rsidP="00D97D31" w:rsidRDefault="00D233FF" w14:paraId="306A06F3" w14:textId="77777777">
            <w:pPr>
              <w:suppressAutoHyphens w:val="0"/>
              <w:spacing w:after="0"/>
              <w:jc w:val="center"/>
              <w:rPr>
                <w:rFonts w:eastAsia="Times New Roman" w:cstheme="minorHAnsi"/>
                <w:color w:val="000000"/>
                <w:lang w:eastAsia="es-CO"/>
              </w:rPr>
            </w:pPr>
            <w:r w:rsidRPr="000C0C5F">
              <w:rPr>
                <w:rFonts w:eastAsia="Times New Roman" w:cstheme="minorHAnsi"/>
                <w:color w:val="000000"/>
                <w:lang w:eastAsia="es-CO"/>
              </w:rPr>
              <w:t>1.439</w:t>
            </w:r>
          </w:p>
        </w:tc>
        <w:tc>
          <w:tcPr>
            <w:tcW w:w="2977" w:type="dxa"/>
            <w:noWrap/>
            <w:vAlign w:val="center"/>
            <w:hideMark/>
          </w:tcPr>
          <w:p w:rsidRPr="000C0C5F" w:rsidR="00D233FF" w:rsidP="00D97D31" w:rsidRDefault="00D233FF" w14:paraId="6E996E11" w14:textId="77777777">
            <w:pPr>
              <w:suppressAutoHyphens w:val="0"/>
              <w:spacing w:after="0"/>
              <w:jc w:val="center"/>
              <w:rPr>
                <w:rFonts w:eastAsia="Times New Roman" w:cstheme="minorHAnsi"/>
                <w:color w:val="000000"/>
                <w:lang w:eastAsia="es-CO"/>
              </w:rPr>
            </w:pPr>
            <w:r w:rsidRPr="000C0C5F">
              <w:rPr>
                <w:rFonts w:eastAsia="Times New Roman" w:cstheme="minorHAnsi"/>
                <w:color w:val="000000"/>
                <w:lang w:eastAsia="es-CO"/>
              </w:rPr>
              <w:t>$              15.458.213.334</w:t>
            </w:r>
          </w:p>
        </w:tc>
      </w:tr>
      <w:tr w:rsidRPr="000C0C5F" w:rsidR="00D233FF" w:rsidTr="009B3E82" w14:paraId="5A104592" w14:textId="77777777">
        <w:trPr>
          <w:trHeight w:val="288"/>
          <w:jc w:val="center"/>
        </w:trPr>
        <w:tc>
          <w:tcPr>
            <w:tcW w:w="2620" w:type="dxa"/>
            <w:noWrap/>
            <w:vAlign w:val="center"/>
            <w:hideMark/>
          </w:tcPr>
          <w:p w:rsidRPr="000C0C5F" w:rsidR="00D233FF" w:rsidP="00D97D31" w:rsidRDefault="00D233FF" w14:paraId="6D16F655" w14:textId="77777777">
            <w:pPr>
              <w:suppressAutoHyphens w:val="0"/>
              <w:spacing w:after="0"/>
              <w:ind w:firstLine="220" w:firstLineChars="100"/>
              <w:jc w:val="center"/>
              <w:rPr>
                <w:rFonts w:eastAsia="Times New Roman" w:cstheme="minorHAnsi"/>
                <w:color w:val="000000"/>
                <w:lang w:eastAsia="es-CO"/>
              </w:rPr>
            </w:pPr>
            <w:r w:rsidRPr="000C0C5F">
              <w:rPr>
                <w:rFonts w:eastAsia="Times New Roman" w:cstheme="minorHAnsi"/>
                <w:color w:val="000000"/>
                <w:lang w:eastAsia="es-CO"/>
              </w:rPr>
              <w:t>Huila</w:t>
            </w:r>
          </w:p>
        </w:tc>
        <w:tc>
          <w:tcPr>
            <w:tcW w:w="1911" w:type="dxa"/>
            <w:noWrap/>
            <w:vAlign w:val="center"/>
            <w:hideMark/>
          </w:tcPr>
          <w:p w:rsidRPr="000C0C5F" w:rsidR="00D233FF" w:rsidP="00D97D31" w:rsidRDefault="00D233FF" w14:paraId="24F4FB3D" w14:textId="77777777">
            <w:pPr>
              <w:suppressAutoHyphens w:val="0"/>
              <w:spacing w:after="0"/>
              <w:jc w:val="center"/>
              <w:rPr>
                <w:rFonts w:eastAsia="Times New Roman" w:cstheme="minorHAnsi"/>
                <w:color w:val="000000"/>
                <w:lang w:eastAsia="es-CO"/>
              </w:rPr>
            </w:pPr>
            <w:r w:rsidRPr="000C0C5F">
              <w:rPr>
                <w:rFonts w:eastAsia="Times New Roman" w:cstheme="minorHAnsi"/>
                <w:color w:val="000000"/>
                <w:lang w:eastAsia="es-CO"/>
              </w:rPr>
              <w:t>668</w:t>
            </w:r>
          </w:p>
        </w:tc>
        <w:tc>
          <w:tcPr>
            <w:tcW w:w="2977" w:type="dxa"/>
            <w:noWrap/>
            <w:vAlign w:val="center"/>
            <w:hideMark/>
          </w:tcPr>
          <w:p w:rsidRPr="000C0C5F" w:rsidR="00D233FF" w:rsidP="00D97D31" w:rsidRDefault="00D233FF" w14:paraId="65571D6A" w14:textId="77777777">
            <w:pPr>
              <w:suppressAutoHyphens w:val="0"/>
              <w:spacing w:after="0"/>
              <w:jc w:val="center"/>
              <w:rPr>
                <w:rFonts w:eastAsia="Times New Roman" w:cstheme="minorHAnsi"/>
                <w:color w:val="000000"/>
                <w:lang w:eastAsia="es-CO"/>
              </w:rPr>
            </w:pPr>
            <w:r w:rsidRPr="000C0C5F">
              <w:rPr>
                <w:rFonts w:eastAsia="Times New Roman" w:cstheme="minorHAnsi"/>
                <w:color w:val="000000"/>
                <w:lang w:eastAsia="es-CO"/>
              </w:rPr>
              <w:t>$                9.419.311.308</w:t>
            </w:r>
          </w:p>
        </w:tc>
      </w:tr>
      <w:tr w:rsidRPr="000C0C5F" w:rsidR="00D233FF" w:rsidTr="009B3E82" w14:paraId="77064176" w14:textId="77777777">
        <w:trPr>
          <w:trHeight w:val="288"/>
          <w:jc w:val="center"/>
        </w:trPr>
        <w:tc>
          <w:tcPr>
            <w:tcW w:w="2620" w:type="dxa"/>
            <w:noWrap/>
            <w:vAlign w:val="center"/>
            <w:hideMark/>
          </w:tcPr>
          <w:p w:rsidRPr="000C0C5F" w:rsidR="00D233FF" w:rsidP="00D97D31" w:rsidRDefault="00D233FF" w14:paraId="3D49D89E" w14:textId="77777777">
            <w:pPr>
              <w:suppressAutoHyphens w:val="0"/>
              <w:spacing w:after="0"/>
              <w:ind w:firstLine="220" w:firstLineChars="100"/>
              <w:jc w:val="center"/>
              <w:rPr>
                <w:rFonts w:eastAsia="Times New Roman" w:cstheme="minorHAnsi"/>
                <w:color w:val="000000"/>
                <w:lang w:eastAsia="es-CO"/>
              </w:rPr>
            </w:pPr>
            <w:r w:rsidRPr="000C0C5F">
              <w:rPr>
                <w:rFonts w:eastAsia="Times New Roman" w:cstheme="minorHAnsi"/>
                <w:color w:val="000000"/>
                <w:lang w:eastAsia="es-CO"/>
              </w:rPr>
              <w:t>La guajira</w:t>
            </w:r>
          </w:p>
        </w:tc>
        <w:tc>
          <w:tcPr>
            <w:tcW w:w="1911" w:type="dxa"/>
            <w:noWrap/>
            <w:vAlign w:val="center"/>
            <w:hideMark/>
          </w:tcPr>
          <w:p w:rsidRPr="000C0C5F" w:rsidR="00D233FF" w:rsidP="00D97D31" w:rsidRDefault="00D233FF" w14:paraId="5507F26C" w14:textId="77777777">
            <w:pPr>
              <w:suppressAutoHyphens w:val="0"/>
              <w:spacing w:after="0"/>
              <w:jc w:val="center"/>
              <w:rPr>
                <w:rFonts w:eastAsia="Times New Roman" w:cstheme="minorHAnsi"/>
                <w:color w:val="000000"/>
                <w:lang w:eastAsia="es-CO"/>
              </w:rPr>
            </w:pPr>
            <w:r w:rsidRPr="000C0C5F">
              <w:rPr>
                <w:rFonts w:eastAsia="Times New Roman" w:cstheme="minorHAnsi"/>
                <w:color w:val="000000"/>
                <w:lang w:eastAsia="es-CO"/>
              </w:rPr>
              <w:t>893</w:t>
            </w:r>
          </w:p>
        </w:tc>
        <w:tc>
          <w:tcPr>
            <w:tcW w:w="2977" w:type="dxa"/>
            <w:noWrap/>
            <w:vAlign w:val="center"/>
            <w:hideMark/>
          </w:tcPr>
          <w:p w:rsidRPr="000C0C5F" w:rsidR="00D233FF" w:rsidP="00D97D31" w:rsidRDefault="00D233FF" w14:paraId="2CEC0EF3" w14:textId="77777777">
            <w:pPr>
              <w:suppressAutoHyphens w:val="0"/>
              <w:spacing w:after="0"/>
              <w:jc w:val="center"/>
              <w:rPr>
                <w:rFonts w:eastAsia="Times New Roman" w:cstheme="minorHAnsi"/>
                <w:color w:val="000000"/>
                <w:lang w:eastAsia="es-CO"/>
              </w:rPr>
            </w:pPr>
            <w:r w:rsidRPr="000C0C5F">
              <w:rPr>
                <w:rFonts w:eastAsia="Times New Roman" w:cstheme="minorHAnsi"/>
                <w:color w:val="000000"/>
                <w:lang w:eastAsia="es-CO"/>
              </w:rPr>
              <w:t>$              15.614.351.073</w:t>
            </w:r>
          </w:p>
        </w:tc>
      </w:tr>
      <w:tr w:rsidRPr="000C0C5F" w:rsidR="00D233FF" w:rsidTr="009B3E82" w14:paraId="671794AE" w14:textId="77777777">
        <w:trPr>
          <w:trHeight w:val="288"/>
          <w:jc w:val="center"/>
        </w:trPr>
        <w:tc>
          <w:tcPr>
            <w:tcW w:w="2620" w:type="dxa"/>
            <w:noWrap/>
            <w:vAlign w:val="center"/>
            <w:hideMark/>
          </w:tcPr>
          <w:p w:rsidRPr="000C0C5F" w:rsidR="00D233FF" w:rsidP="00D97D31" w:rsidRDefault="00D233FF" w14:paraId="460A4D1E" w14:textId="77777777">
            <w:pPr>
              <w:suppressAutoHyphens w:val="0"/>
              <w:spacing w:after="0"/>
              <w:ind w:firstLine="220" w:firstLineChars="100"/>
              <w:jc w:val="center"/>
              <w:rPr>
                <w:rFonts w:eastAsia="Times New Roman" w:cstheme="minorHAnsi"/>
                <w:color w:val="000000"/>
                <w:lang w:eastAsia="es-CO"/>
              </w:rPr>
            </w:pPr>
            <w:r w:rsidRPr="000C0C5F">
              <w:rPr>
                <w:rFonts w:eastAsia="Times New Roman" w:cstheme="minorHAnsi"/>
                <w:color w:val="000000"/>
                <w:lang w:eastAsia="es-CO"/>
              </w:rPr>
              <w:t>Magdalena</w:t>
            </w:r>
          </w:p>
        </w:tc>
        <w:tc>
          <w:tcPr>
            <w:tcW w:w="1911" w:type="dxa"/>
            <w:noWrap/>
            <w:vAlign w:val="center"/>
            <w:hideMark/>
          </w:tcPr>
          <w:p w:rsidRPr="000C0C5F" w:rsidR="00D233FF" w:rsidP="00D97D31" w:rsidRDefault="00D233FF" w14:paraId="143D5E7A" w14:textId="77777777">
            <w:pPr>
              <w:suppressAutoHyphens w:val="0"/>
              <w:spacing w:after="0"/>
              <w:jc w:val="center"/>
              <w:rPr>
                <w:rFonts w:eastAsia="Times New Roman" w:cstheme="minorHAnsi"/>
                <w:color w:val="000000"/>
                <w:lang w:eastAsia="es-CO"/>
              </w:rPr>
            </w:pPr>
            <w:r w:rsidRPr="000C0C5F">
              <w:rPr>
                <w:rFonts w:eastAsia="Times New Roman" w:cstheme="minorHAnsi"/>
                <w:color w:val="000000"/>
                <w:lang w:eastAsia="es-CO"/>
              </w:rPr>
              <w:t>3.903</w:t>
            </w:r>
          </w:p>
        </w:tc>
        <w:tc>
          <w:tcPr>
            <w:tcW w:w="2977" w:type="dxa"/>
            <w:noWrap/>
            <w:vAlign w:val="center"/>
            <w:hideMark/>
          </w:tcPr>
          <w:p w:rsidRPr="000C0C5F" w:rsidR="00D233FF" w:rsidP="00D97D31" w:rsidRDefault="00D233FF" w14:paraId="115E3B5A" w14:textId="77777777">
            <w:pPr>
              <w:suppressAutoHyphens w:val="0"/>
              <w:spacing w:after="0"/>
              <w:jc w:val="center"/>
              <w:rPr>
                <w:rFonts w:eastAsia="Times New Roman" w:cstheme="minorHAnsi"/>
                <w:color w:val="000000"/>
                <w:lang w:eastAsia="es-CO"/>
              </w:rPr>
            </w:pPr>
            <w:r w:rsidRPr="000C0C5F">
              <w:rPr>
                <w:rFonts w:eastAsia="Times New Roman" w:cstheme="minorHAnsi"/>
                <w:color w:val="000000"/>
                <w:lang w:eastAsia="es-CO"/>
              </w:rPr>
              <w:t>$              65.669.718.006</w:t>
            </w:r>
          </w:p>
        </w:tc>
      </w:tr>
      <w:tr w:rsidRPr="000C0C5F" w:rsidR="00D233FF" w:rsidTr="009B3E82" w14:paraId="6B1A09D6" w14:textId="77777777">
        <w:trPr>
          <w:trHeight w:val="288"/>
          <w:jc w:val="center"/>
        </w:trPr>
        <w:tc>
          <w:tcPr>
            <w:tcW w:w="2620" w:type="dxa"/>
            <w:noWrap/>
            <w:vAlign w:val="center"/>
            <w:hideMark/>
          </w:tcPr>
          <w:p w:rsidR="00D233FF" w:rsidP="00D97D31" w:rsidRDefault="00D233FF" w14:paraId="0EAFBEC4" w14:textId="77777777">
            <w:pPr>
              <w:suppressAutoHyphens w:val="0"/>
              <w:spacing w:after="0"/>
              <w:ind w:firstLine="220" w:firstLineChars="100"/>
              <w:jc w:val="center"/>
              <w:rPr>
                <w:rFonts w:eastAsia="Times New Roman" w:cstheme="minorHAnsi"/>
                <w:color w:val="000000"/>
                <w:lang w:eastAsia="es-CO"/>
              </w:rPr>
            </w:pPr>
            <w:r w:rsidRPr="000C0C5F">
              <w:rPr>
                <w:rFonts w:eastAsia="Times New Roman" w:cstheme="minorHAnsi"/>
                <w:color w:val="000000"/>
                <w:lang w:eastAsia="es-CO"/>
              </w:rPr>
              <w:t>Norte de</w:t>
            </w:r>
          </w:p>
          <w:p w:rsidRPr="000C0C5F" w:rsidR="00D233FF" w:rsidP="00D97D31" w:rsidRDefault="00D233FF" w14:paraId="073619BB" w14:textId="77777777">
            <w:pPr>
              <w:suppressAutoHyphens w:val="0"/>
              <w:spacing w:after="0"/>
              <w:ind w:firstLine="220" w:firstLineChars="100"/>
              <w:jc w:val="center"/>
              <w:rPr>
                <w:rFonts w:eastAsia="Times New Roman" w:cstheme="minorHAnsi"/>
                <w:color w:val="000000"/>
                <w:lang w:eastAsia="es-CO"/>
              </w:rPr>
            </w:pPr>
            <w:r>
              <w:rPr>
                <w:rFonts w:eastAsia="Times New Roman" w:cstheme="minorHAnsi"/>
                <w:color w:val="000000"/>
                <w:lang w:eastAsia="es-CO"/>
              </w:rPr>
              <w:t>S</w:t>
            </w:r>
            <w:r w:rsidRPr="000C0C5F">
              <w:rPr>
                <w:rFonts w:eastAsia="Times New Roman" w:cstheme="minorHAnsi"/>
                <w:color w:val="000000"/>
                <w:lang w:eastAsia="es-CO"/>
              </w:rPr>
              <w:t>antander</w:t>
            </w:r>
          </w:p>
        </w:tc>
        <w:tc>
          <w:tcPr>
            <w:tcW w:w="1911" w:type="dxa"/>
            <w:noWrap/>
            <w:vAlign w:val="center"/>
            <w:hideMark/>
          </w:tcPr>
          <w:p w:rsidRPr="000C0C5F" w:rsidR="00D233FF" w:rsidP="00D97D31" w:rsidRDefault="00D233FF" w14:paraId="4185DB13" w14:textId="77777777">
            <w:pPr>
              <w:suppressAutoHyphens w:val="0"/>
              <w:spacing w:after="0"/>
              <w:jc w:val="center"/>
              <w:rPr>
                <w:rFonts w:eastAsia="Times New Roman" w:cstheme="minorHAnsi"/>
                <w:color w:val="000000"/>
                <w:lang w:eastAsia="es-CO"/>
              </w:rPr>
            </w:pPr>
            <w:r w:rsidRPr="000C0C5F">
              <w:rPr>
                <w:rFonts w:eastAsia="Times New Roman" w:cstheme="minorHAnsi"/>
                <w:color w:val="000000"/>
                <w:lang w:eastAsia="es-CO"/>
              </w:rPr>
              <w:t>292</w:t>
            </w:r>
          </w:p>
        </w:tc>
        <w:tc>
          <w:tcPr>
            <w:tcW w:w="2977" w:type="dxa"/>
            <w:noWrap/>
            <w:vAlign w:val="center"/>
            <w:hideMark/>
          </w:tcPr>
          <w:p w:rsidRPr="000C0C5F" w:rsidR="00D233FF" w:rsidP="00D97D31" w:rsidRDefault="00D233FF" w14:paraId="47322DF6" w14:textId="77777777">
            <w:pPr>
              <w:suppressAutoHyphens w:val="0"/>
              <w:spacing w:after="0"/>
              <w:jc w:val="center"/>
              <w:rPr>
                <w:rFonts w:eastAsia="Times New Roman" w:cstheme="minorHAnsi"/>
                <w:color w:val="000000"/>
                <w:lang w:eastAsia="es-CO"/>
              </w:rPr>
            </w:pPr>
            <w:r w:rsidRPr="000C0C5F">
              <w:rPr>
                <w:rFonts w:eastAsia="Times New Roman" w:cstheme="minorHAnsi"/>
                <w:color w:val="000000"/>
                <w:lang w:eastAsia="es-CO"/>
              </w:rPr>
              <w:t>$                4.777.321.905</w:t>
            </w:r>
          </w:p>
        </w:tc>
      </w:tr>
      <w:tr w:rsidRPr="000C0C5F" w:rsidR="00D233FF" w:rsidTr="009B3E82" w14:paraId="611FC47E" w14:textId="77777777">
        <w:trPr>
          <w:trHeight w:val="288"/>
          <w:jc w:val="center"/>
        </w:trPr>
        <w:tc>
          <w:tcPr>
            <w:tcW w:w="2620" w:type="dxa"/>
            <w:noWrap/>
            <w:vAlign w:val="center"/>
            <w:hideMark/>
          </w:tcPr>
          <w:p w:rsidRPr="000C0C5F" w:rsidR="00D233FF" w:rsidP="00D97D31" w:rsidRDefault="00D233FF" w14:paraId="60F83DEB" w14:textId="77777777">
            <w:pPr>
              <w:suppressAutoHyphens w:val="0"/>
              <w:spacing w:after="0"/>
              <w:ind w:firstLine="220" w:firstLineChars="100"/>
              <w:jc w:val="center"/>
              <w:rPr>
                <w:rFonts w:eastAsia="Times New Roman" w:cstheme="minorHAnsi"/>
                <w:color w:val="000000"/>
                <w:lang w:eastAsia="es-CO"/>
              </w:rPr>
            </w:pPr>
            <w:r w:rsidRPr="000C0C5F">
              <w:rPr>
                <w:rFonts w:eastAsia="Times New Roman" w:cstheme="minorHAnsi"/>
                <w:color w:val="000000"/>
                <w:lang w:eastAsia="es-CO"/>
              </w:rPr>
              <w:t>Putumayo</w:t>
            </w:r>
          </w:p>
        </w:tc>
        <w:tc>
          <w:tcPr>
            <w:tcW w:w="1911" w:type="dxa"/>
            <w:noWrap/>
            <w:vAlign w:val="center"/>
            <w:hideMark/>
          </w:tcPr>
          <w:p w:rsidRPr="000C0C5F" w:rsidR="00D233FF" w:rsidP="00D97D31" w:rsidRDefault="00D233FF" w14:paraId="2E6C3EDB" w14:textId="77777777">
            <w:pPr>
              <w:suppressAutoHyphens w:val="0"/>
              <w:spacing w:after="0"/>
              <w:jc w:val="center"/>
              <w:rPr>
                <w:rFonts w:eastAsia="Times New Roman" w:cstheme="minorHAnsi"/>
                <w:color w:val="000000"/>
                <w:lang w:eastAsia="es-CO"/>
              </w:rPr>
            </w:pPr>
            <w:r w:rsidRPr="000C0C5F">
              <w:rPr>
                <w:rFonts w:eastAsia="Times New Roman" w:cstheme="minorHAnsi"/>
                <w:color w:val="000000"/>
                <w:lang w:eastAsia="es-CO"/>
              </w:rPr>
              <w:t>488</w:t>
            </w:r>
          </w:p>
        </w:tc>
        <w:tc>
          <w:tcPr>
            <w:tcW w:w="2977" w:type="dxa"/>
            <w:noWrap/>
            <w:vAlign w:val="center"/>
            <w:hideMark/>
          </w:tcPr>
          <w:p w:rsidRPr="000C0C5F" w:rsidR="00D233FF" w:rsidP="00D97D31" w:rsidRDefault="00D233FF" w14:paraId="09B43346" w14:textId="77777777">
            <w:pPr>
              <w:suppressAutoHyphens w:val="0"/>
              <w:spacing w:after="0"/>
              <w:jc w:val="center"/>
              <w:rPr>
                <w:rFonts w:eastAsia="Times New Roman" w:cstheme="minorHAnsi"/>
                <w:color w:val="000000"/>
                <w:lang w:eastAsia="es-CO"/>
              </w:rPr>
            </w:pPr>
            <w:r w:rsidRPr="000C0C5F">
              <w:rPr>
                <w:rFonts w:eastAsia="Times New Roman" w:cstheme="minorHAnsi"/>
                <w:color w:val="000000"/>
                <w:lang w:eastAsia="es-CO"/>
              </w:rPr>
              <w:t>$                7.952.520.152</w:t>
            </w:r>
          </w:p>
        </w:tc>
      </w:tr>
      <w:tr w:rsidRPr="000C0C5F" w:rsidR="00D233FF" w:rsidTr="009B3E82" w14:paraId="38C52119" w14:textId="77777777">
        <w:trPr>
          <w:trHeight w:val="288"/>
          <w:jc w:val="center"/>
        </w:trPr>
        <w:tc>
          <w:tcPr>
            <w:tcW w:w="2620" w:type="dxa"/>
            <w:noWrap/>
            <w:vAlign w:val="center"/>
            <w:hideMark/>
          </w:tcPr>
          <w:p w:rsidRPr="000C0C5F" w:rsidR="00D233FF" w:rsidP="00D97D31" w:rsidRDefault="00D233FF" w14:paraId="1AC1FB3B" w14:textId="77777777">
            <w:pPr>
              <w:suppressAutoHyphens w:val="0"/>
              <w:spacing w:after="0"/>
              <w:ind w:firstLine="220" w:firstLineChars="100"/>
              <w:jc w:val="center"/>
              <w:rPr>
                <w:rFonts w:eastAsia="Times New Roman" w:cstheme="minorHAnsi"/>
                <w:color w:val="000000"/>
                <w:lang w:eastAsia="es-CO"/>
              </w:rPr>
            </w:pPr>
            <w:r w:rsidRPr="000C0C5F">
              <w:rPr>
                <w:rFonts w:eastAsia="Times New Roman" w:cstheme="minorHAnsi"/>
                <w:color w:val="000000"/>
                <w:lang w:eastAsia="es-CO"/>
              </w:rPr>
              <w:t>Santander</w:t>
            </w:r>
          </w:p>
        </w:tc>
        <w:tc>
          <w:tcPr>
            <w:tcW w:w="1911" w:type="dxa"/>
            <w:noWrap/>
            <w:vAlign w:val="center"/>
            <w:hideMark/>
          </w:tcPr>
          <w:p w:rsidRPr="000C0C5F" w:rsidR="00D233FF" w:rsidP="00D97D31" w:rsidRDefault="00D233FF" w14:paraId="1ECFB7AA" w14:textId="77777777">
            <w:pPr>
              <w:suppressAutoHyphens w:val="0"/>
              <w:spacing w:after="0"/>
              <w:jc w:val="center"/>
              <w:rPr>
                <w:rFonts w:eastAsia="Times New Roman" w:cstheme="minorHAnsi"/>
                <w:color w:val="000000"/>
                <w:lang w:eastAsia="es-CO"/>
              </w:rPr>
            </w:pPr>
            <w:r w:rsidRPr="000C0C5F">
              <w:rPr>
                <w:rFonts w:eastAsia="Times New Roman" w:cstheme="minorHAnsi"/>
                <w:color w:val="000000"/>
                <w:lang w:eastAsia="es-CO"/>
              </w:rPr>
              <w:t>156</w:t>
            </w:r>
          </w:p>
        </w:tc>
        <w:tc>
          <w:tcPr>
            <w:tcW w:w="2977" w:type="dxa"/>
            <w:noWrap/>
            <w:vAlign w:val="center"/>
            <w:hideMark/>
          </w:tcPr>
          <w:p w:rsidRPr="000C0C5F" w:rsidR="00D233FF" w:rsidP="00D97D31" w:rsidRDefault="00D233FF" w14:paraId="21C5B533" w14:textId="77777777">
            <w:pPr>
              <w:suppressAutoHyphens w:val="0"/>
              <w:spacing w:after="0"/>
              <w:jc w:val="center"/>
              <w:rPr>
                <w:rFonts w:eastAsia="Times New Roman" w:cstheme="minorHAnsi"/>
                <w:color w:val="000000"/>
                <w:lang w:eastAsia="es-CO"/>
              </w:rPr>
            </w:pPr>
            <w:r w:rsidRPr="000C0C5F">
              <w:rPr>
                <w:rFonts w:eastAsia="Times New Roman" w:cstheme="minorHAnsi"/>
                <w:color w:val="000000"/>
                <w:lang w:eastAsia="es-CO"/>
              </w:rPr>
              <w:t>$                2.604.375.587</w:t>
            </w:r>
          </w:p>
        </w:tc>
      </w:tr>
      <w:tr w:rsidRPr="000C0C5F" w:rsidR="00D233FF" w:rsidTr="009B3E82" w14:paraId="4ACADB3C" w14:textId="77777777">
        <w:trPr>
          <w:trHeight w:val="288"/>
          <w:jc w:val="center"/>
        </w:trPr>
        <w:tc>
          <w:tcPr>
            <w:tcW w:w="2620" w:type="dxa"/>
            <w:noWrap/>
            <w:vAlign w:val="center"/>
            <w:hideMark/>
          </w:tcPr>
          <w:p w:rsidRPr="000C0C5F" w:rsidR="00D233FF" w:rsidP="00D97D31" w:rsidRDefault="00D233FF" w14:paraId="7D937F11" w14:textId="77777777">
            <w:pPr>
              <w:suppressAutoHyphens w:val="0"/>
              <w:spacing w:after="0"/>
              <w:ind w:firstLine="220" w:firstLineChars="100"/>
              <w:jc w:val="center"/>
              <w:rPr>
                <w:rFonts w:eastAsia="Times New Roman" w:cstheme="minorHAnsi"/>
                <w:color w:val="000000"/>
                <w:lang w:eastAsia="es-CO"/>
              </w:rPr>
            </w:pPr>
            <w:r w:rsidRPr="000C0C5F">
              <w:rPr>
                <w:rFonts w:eastAsia="Times New Roman" w:cstheme="minorHAnsi"/>
                <w:color w:val="000000"/>
                <w:lang w:eastAsia="es-CO"/>
              </w:rPr>
              <w:t>Sucre</w:t>
            </w:r>
          </w:p>
        </w:tc>
        <w:tc>
          <w:tcPr>
            <w:tcW w:w="1911" w:type="dxa"/>
            <w:noWrap/>
            <w:vAlign w:val="center"/>
            <w:hideMark/>
          </w:tcPr>
          <w:p w:rsidRPr="000C0C5F" w:rsidR="00D233FF" w:rsidP="00D97D31" w:rsidRDefault="00D233FF" w14:paraId="1E7E97DA" w14:textId="77777777">
            <w:pPr>
              <w:suppressAutoHyphens w:val="0"/>
              <w:spacing w:after="0"/>
              <w:jc w:val="center"/>
              <w:rPr>
                <w:rFonts w:eastAsia="Times New Roman" w:cstheme="minorHAnsi"/>
                <w:color w:val="000000"/>
                <w:lang w:eastAsia="es-CO"/>
              </w:rPr>
            </w:pPr>
            <w:r w:rsidRPr="000C0C5F">
              <w:rPr>
                <w:rFonts w:eastAsia="Times New Roman" w:cstheme="minorHAnsi"/>
                <w:color w:val="000000"/>
                <w:lang w:eastAsia="es-CO"/>
              </w:rPr>
              <w:t>51</w:t>
            </w:r>
          </w:p>
        </w:tc>
        <w:tc>
          <w:tcPr>
            <w:tcW w:w="2977" w:type="dxa"/>
            <w:noWrap/>
            <w:vAlign w:val="center"/>
            <w:hideMark/>
          </w:tcPr>
          <w:p w:rsidRPr="000C0C5F" w:rsidR="00D233FF" w:rsidP="00D97D31" w:rsidRDefault="00D233FF" w14:paraId="79945697" w14:textId="77777777">
            <w:pPr>
              <w:suppressAutoHyphens w:val="0"/>
              <w:spacing w:after="0"/>
              <w:jc w:val="center"/>
              <w:rPr>
                <w:rFonts w:eastAsia="Times New Roman" w:cstheme="minorHAnsi"/>
                <w:color w:val="000000"/>
                <w:lang w:eastAsia="es-CO"/>
              </w:rPr>
            </w:pPr>
            <w:r w:rsidRPr="000C0C5F">
              <w:rPr>
                <w:rFonts w:eastAsia="Times New Roman" w:cstheme="minorHAnsi"/>
                <w:color w:val="000000"/>
                <w:lang w:eastAsia="es-CO"/>
              </w:rPr>
              <w:t>$                    868.971.065</w:t>
            </w:r>
          </w:p>
        </w:tc>
      </w:tr>
      <w:tr w:rsidRPr="000C0C5F" w:rsidR="00D233FF" w:rsidTr="009B3E82" w14:paraId="4F088B20" w14:textId="77777777">
        <w:trPr>
          <w:trHeight w:val="288"/>
          <w:jc w:val="center"/>
        </w:trPr>
        <w:tc>
          <w:tcPr>
            <w:tcW w:w="2620" w:type="dxa"/>
            <w:noWrap/>
            <w:vAlign w:val="center"/>
            <w:hideMark/>
          </w:tcPr>
          <w:p w:rsidRPr="000C0C5F" w:rsidR="00D233FF" w:rsidP="00D97D31" w:rsidRDefault="00D233FF" w14:paraId="63497AB7" w14:textId="77777777">
            <w:pPr>
              <w:suppressAutoHyphens w:val="0"/>
              <w:spacing w:after="0"/>
              <w:ind w:firstLine="220" w:firstLineChars="100"/>
              <w:jc w:val="center"/>
              <w:rPr>
                <w:rFonts w:eastAsia="Times New Roman" w:cstheme="minorHAnsi"/>
                <w:color w:val="000000"/>
                <w:lang w:eastAsia="es-CO"/>
              </w:rPr>
            </w:pPr>
            <w:r w:rsidRPr="000C0C5F">
              <w:rPr>
                <w:rFonts w:eastAsia="Times New Roman" w:cstheme="minorHAnsi"/>
                <w:color w:val="000000"/>
                <w:lang w:eastAsia="es-CO"/>
              </w:rPr>
              <w:t>Vichada</w:t>
            </w:r>
          </w:p>
        </w:tc>
        <w:tc>
          <w:tcPr>
            <w:tcW w:w="1911" w:type="dxa"/>
            <w:noWrap/>
            <w:vAlign w:val="center"/>
            <w:hideMark/>
          </w:tcPr>
          <w:p w:rsidRPr="000C0C5F" w:rsidR="00D233FF" w:rsidP="00D97D31" w:rsidRDefault="00D233FF" w14:paraId="14F5AA3B" w14:textId="77777777">
            <w:pPr>
              <w:suppressAutoHyphens w:val="0"/>
              <w:spacing w:after="0"/>
              <w:jc w:val="center"/>
              <w:rPr>
                <w:rFonts w:eastAsia="Times New Roman" w:cstheme="minorHAnsi"/>
                <w:color w:val="000000"/>
                <w:lang w:eastAsia="es-CO"/>
              </w:rPr>
            </w:pPr>
            <w:r w:rsidRPr="000C0C5F">
              <w:rPr>
                <w:rFonts w:eastAsia="Times New Roman" w:cstheme="minorHAnsi"/>
                <w:color w:val="000000"/>
                <w:lang w:eastAsia="es-CO"/>
              </w:rPr>
              <w:t>2.130</w:t>
            </w:r>
          </w:p>
        </w:tc>
        <w:tc>
          <w:tcPr>
            <w:tcW w:w="2977" w:type="dxa"/>
            <w:noWrap/>
            <w:vAlign w:val="center"/>
            <w:hideMark/>
          </w:tcPr>
          <w:p w:rsidRPr="000C0C5F" w:rsidR="00D233FF" w:rsidP="00D97D31" w:rsidRDefault="00D233FF" w14:paraId="2F90548E" w14:textId="77777777">
            <w:pPr>
              <w:suppressAutoHyphens w:val="0"/>
              <w:spacing w:after="0"/>
              <w:jc w:val="center"/>
              <w:rPr>
                <w:rFonts w:eastAsia="Times New Roman" w:cstheme="minorHAnsi"/>
                <w:color w:val="000000"/>
                <w:lang w:eastAsia="es-CO"/>
              </w:rPr>
            </w:pPr>
            <w:r w:rsidRPr="000C0C5F">
              <w:rPr>
                <w:rFonts w:eastAsia="Times New Roman" w:cstheme="minorHAnsi"/>
                <w:color w:val="000000"/>
                <w:lang w:eastAsia="es-CO"/>
              </w:rPr>
              <w:t>$              19.230.313.245</w:t>
            </w:r>
          </w:p>
        </w:tc>
      </w:tr>
      <w:tr w:rsidRPr="000C0C5F" w:rsidR="00D233FF" w:rsidTr="009B3E82" w14:paraId="268AED2C" w14:textId="77777777">
        <w:trPr>
          <w:trHeight w:val="288"/>
          <w:jc w:val="center"/>
        </w:trPr>
        <w:tc>
          <w:tcPr>
            <w:tcW w:w="2620" w:type="dxa"/>
            <w:shd w:val="clear" w:color="D9E1F2" w:fill="D9E1F2"/>
            <w:noWrap/>
            <w:vAlign w:val="center"/>
            <w:hideMark/>
          </w:tcPr>
          <w:p w:rsidRPr="000C0C5F" w:rsidR="00D233FF" w:rsidP="00D97D31" w:rsidRDefault="00D233FF" w14:paraId="15CE25AA" w14:textId="77777777">
            <w:pPr>
              <w:suppressAutoHyphens w:val="0"/>
              <w:spacing w:after="0"/>
              <w:jc w:val="center"/>
              <w:rPr>
                <w:rFonts w:eastAsia="Times New Roman" w:cstheme="minorHAnsi"/>
                <w:b/>
                <w:bCs/>
                <w:color w:val="000000"/>
                <w:lang w:eastAsia="es-CO"/>
              </w:rPr>
            </w:pPr>
            <w:r w:rsidRPr="000C0C5F">
              <w:rPr>
                <w:rFonts w:eastAsia="Times New Roman" w:cstheme="minorHAnsi"/>
                <w:b/>
                <w:bCs/>
                <w:color w:val="000000"/>
                <w:lang w:eastAsia="es-CO"/>
              </w:rPr>
              <w:t>Total</w:t>
            </w:r>
          </w:p>
        </w:tc>
        <w:tc>
          <w:tcPr>
            <w:tcW w:w="1911" w:type="dxa"/>
            <w:shd w:val="clear" w:color="D9E1F2" w:fill="D9E1F2"/>
            <w:noWrap/>
            <w:vAlign w:val="center"/>
            <w:hideMark/>
          </w:tcPr>
          <w:p w:rsidRPr="000C0C5F" w:rsidR="00D233FF" w:rsidP="00D97D31" w:rsidRDefault="00D233FF" w14:paraId="2087B8D6" w14:textId="77777777">
            <w:pPr>
              <w:suppressAutoHyphens w:val="0"/>
              <w:spacing w:after="0"/>
              <w:jc w:val="center"/>
              <w:rPr>
                <w:rFonts w:eastAsia="Times New Roman" w:cstheme="minorHAnsi"/>
                <w:b/>
                <w:bCs/>
                <w:color w:val="000000"/>
                <w:lang w:eastAsia="es-CO"/>
              </w:rPr>
            </w:pPr>
            <w:r w:rsidRPr="000C0C5F">
              <w:rPr>
                <w:rFonts w:eastAsia="Times New Roman" w:cstheme="minorHAnsi"/>
                <w:b/>
                <w:bCs/>
                <w:color w:val="000000"/>
                <w:lang w:eastAsia="es-CO"/>
              </w:rPr>
              <w:t>16.771</w:t>
            </w:r>
          </w:p>
        </w:tc>
        <w:tc>
          <w:tcPr>
            <w:tcW w:w="2977" w:type="dxa"/>
            <w:shd w:val="clear" w:color="D9E1F2" w:fill="D9E1F2"/>
            <w:noWrap/>
            <w:vAlign w:val="center"/>
            <w:hideMark/>
          </w:tcPr>
          <w:p w:rsidRPr="000C0C5F" w:rsidR="00D233FF" w:rsidP="00D97D31" w:rsidRDefault="00D233FF" w14:paraId="11CAA790" w14:textId="77777777">
            <w:pPr>
              <w:suppressAutoHyphens w:val="0"/>
              <w:spacing w:after="0"/>
              <w:jc w:val="center"/>
              <w:rPr>
                <w:rFonts w:eastAsia="Times New Roman" w:cstheme="minorHAnsi"/>
                <w:b/>
                <w:bCs/>
                <w:color w:val="000000"/>
                <w:lang w:eastAsia="es-CO"/>
              </w:rPr>
            </w:pPr>
            <w:r w:rsidRPr="000C0C5F">
              <w:rPr>
                <w:rFonts w:eastAsia="Times New Roman" w:cstheme="minorHAnsi"/>
                <w:b/>
                <w:bCs/>
                <w:color w:val="000000"/>
                <w:lang w:eastAsia="es-CO"/>
              </w:rPr>
              <w:t>$            215.343.434.192</w:t>
            </w:r>
          </w:p>
        </w:tc>
      </w:tr>
    </w:tbl>
    <w:p w:rsidR="00D233FF" w:rsidP="00D97D31" w:rsidRDefault="00423336" w14:paraId="7010E50D" w14:textId="20458A44">
      <w:pPr>
        <w:spacing w:after="0"/>
        <w:jc w:val="center"/>
        <w:rPr>
          <w:sz w:val="18"/>
          <w:szCs w:val="18"/>
        </w:rPr>
      </w:pPr>
      <w:r w:rsidRPr="009D13BA">
        <w:rPr>
          <w:b/>
          <w:bCs/>
          <w:i/>
          <w:iCs/>
          <w:sz w:val="18"/>
          <w:szCs w:val="18"/>
        </w:rPr>
        <w:t xml:space="preserve">Fuente: </w:t>
      </w:r>
      <w:r>
        <w:rPr>
          <w:sz w:val="18"/>
          <w:szCs w:val="18"/>
        </w:rPr>
        <w:t>Elaboración propia</w:t>
      </w:r>
    </w:p>
    <w:p w:rsidR="0096168B" w:rsidP="00D97D31" w:rsidRDefault="0096168B" w14:paraId="31DFD9BB" w14:textId="1A39AC22">
      <w:pPr>
        <w:spacing w:after="0"/>
        <w:ind w:left="993" w:right="1040"/>
        <w:jc w:val="both"/>
        <w:rPr>
          <w:sz w:val="18"/>
          <w:szCs w:val="18"/>
          <w:highlight w:val="yellow"/>
        </w:rPr>
      </w:pPr>
      <w:r w:rsidRPr="005D1097">
        <w:rPr>
          <w:b/>
          <w:bCs/>
          <w:sz w:val="18"/>
          <w:szCs w:val="18"/>
          <w:highlight w:val="yellow"/>
        </w:rPr>
        <w:t>Nota:</w:t>
      </w:r>
      <w:r w:rsidRPr="005D1097">
        <w:rPr>
          <w:sz w:val="18"/>
          <w:szCs w:val="18"/>
          <w:highlight w:val="yellow"/>
        </w:rPr>
        <w:t xml:space="preserve"> Los </w:t>
      </w:r>
      <w:r w:rsidRPr="005D1097" w:rsidR="00A37A14">
        <w:rPr>
          <w:sz w:val="18"/>
          <w:szCs w:val="18"/>
          <w:highlight w:val="yellow"/>
        </w:rPr>
        <w:t>usuarios asociados en</w:t>
      </w:r>
      <w:r w:rsidRPr="005D1097" w:rsidR="00D074E5">
        <w:rPr>
          <w:sz w:val="18"/>
          <w:szCs w:val="18"/>
          <w:highlight w:val="yellow"/>
        </w:rPr>
        <w:t xml:space="preserve"> la Tabla 5, fueron beneficiados de 49 contratos suscritos durante la vigencia 2024 y 2025. Estos fueron aprobados y viabilizados por el Instituto de </w:t>
      </w:r>
      <w:r w:rsidRPr="005D1097" w:rsidR="005D1097">
        <w:rPr>
          <w:sz w:val="18"/>
          <w:szCs w:val="18"/>
          <w:highlight w:val="yellow"/>
        </w:rPr>
        <w:t>Promoción</w:t>
      </w:r>
      <w:r w:rsidRPr="005D1097" w:rsidR="00D074E5">
        <w:rPr>
          <w:sz w:val="18"/>
          <w:szCs w:val="18"/>
          <w:highlight w:val="yellow"/>
        </w:rPr>
        <w:t xml:space="preserve"> y </w:t>
      </w:r>
      <w:r w:rsidRPr="005D1097" w:rsidR="005D1097">
        <w:rPr>
          <w:sz w:val="18"/>
          <w:szCs w:val="18"/>
          <w:highlight w:val="yellow"/>
        </w:rPr>
        <w:t xml:space="preserve">Planificación de Soluciones Energéticas en las Zonas no Interconectadas. </w:t>
      </w:r>
      <w:r w:rsidRPr="005D1097">
        <w:rPr>
          <w:sz w:val="18"/>
          <w:szCs w:val="18"/>
          <w:highlight w:val="yellow"/>
        </w:rPr>
        <w:t xml:space="preserve"> </w:t>
      </w:r>
    </w:p>
    <w:p w:rsidRPr="005D1097" w:rsidR="000149B1" w:rsidP="00D97D31" w:rsidRDefault="000149B1" w14:paraId="522DA61C" w14:textId="77777777">
      <w:pPr>
        <w:spacing w:after="0"/>
        <w:jc w:val="both"/>
        <w:rPr>
          <w:sz w:val="18"/>
          <w:szCs w:val="18"/>
          <w:highlight w:val="yellow"/>
        </w:rPr>
      </w:pPr>
    </w:p>
    <w:p w:rsidRPr="0095039C" w:rsidR="00D233FF" w:rsidP="00D97D31" w:rsidRDefault="008F56D1" w14:paraId="7157800E" w14:textId="21C2EC1E">
      <w:pPr>
        <w:spacing w:after="0"/>
        <w:jc w:val="both"/>
        <w:rPr>
          <w:rFonts w:ascii="Calibri" w:hAnsi="Calibri" w:eastAsia="Times New Roman" w:cs="Calibri"/>
          <w:color w:val="000000"/>
          <w:lang w:eastAsia="es-CO"/>
        </w:rPr>
      </w:pPr>
      <w:r w:rsidRPr="008F56D1">
        <w:t>Ahora bien, en</w:t>
      </w:r>
      <w:r w:rsidRPr="008F56D1" w:rsidR="00D233FF">
        <w:t xml:space="preserve"> el marco de lo dispuesto en el artículo 1 del Decreto 0375 de 2026 el cual indica que:</w:t>
      </w:r>
      <w:r w:rsidRPr="002E09A3" w:rsidR="00D233FF">
        <w:t xml:space="preserve"> </w:t>
      </w:r>
    </w:p>
    <w:p w:rsidRPr="002E09A3" w:rsidR="00D233FF" w:rsidP="00D97D31" w:rsidRDefault="00D233FF" w14:paraId="44D8897A" w14:textId="77777777">
      <w:pPr>
        <w:spacing w:beforeAutospacing="1" w:afterAutospacing="1"/>
        <w:ind w:left="708"/>
        <w:jc w:val="both"/>
        <w:rPr>
          <w:i/>
          <w:iCs/>
        </w:rPr>
      </w:pPr>
      <w:r w:rsidRPr="002E09A3">
        <w:rPr>
          <w:i/>
          <w:iCs/>
        </w:rPr>
        <w:t>“(…)</w:t>
      </w:r>
      <w:r>
        <w:rPr>
          <w:i/>
          <w:iCs/>
        </w:rPr>
        <w:t xml:space="preserve"> </w:t>
      </w:r>
      <w:r w:rsidRPr="002E09A3">
        <w:rPr>
          <w:i/>
          <w:iCs/>
        </w:rPr>
        <w:t xml:space="preserve">Transición de planes, programas y proyectos eléctricos y de gas. El Ministerio de Minas y Energía a través de </w:t>
      </w:r>
      <w:proofErr w:type="spellStart"/>
      <w:r w:rsidRPr="002E09A3">
        <w:rPr>
          <w:i/>
          <w:iCs/>
        </w:rPr>
        <w:t>Fonenergía</w:t>
      </w:r>
      <w:proofErr w:type="spellEnd"/>
      <w:r w:rsidRPr="002E09A3">
        <w:rPr>
          <w:i/>
          <w:iCs/>
        </w:rPr>
        <w:t xml:space="preserve"> adquiere los derechos y obligaciones derivados de los recursos asignados y ejecutados mediante los Fondos FAER, FAZNI, PRONE y FECFGN.</w:t>
      </w:r>
    </w:p>
    <w:p w:rsidRPr="002E09A3" w:rsidR="00D233FF" w:rsidP="00D97D31" w:rsidRDefault="00D233FF" w14:paraId="421EF8D8" w14:textId="77777777">
      <w:pPr>
        <w:spacing w:beforeAutospacing="1" w:afterAutospacing="1"/>
        <w:ind w:left="708"/>
        <w:jc w:val="both"/>
        <w:rPr>
          <w:i/>
          <w:iCs/>
        </w:rPr>
      </w:pPr>
      <w:r w:rsidRPr="002E09A3">
        <w:rPr>
          <w:i/>
          <w:iCs/>
        </w:rPr>
        <w:t xml:space="preserve">Los derechos y/u obligaciones que emanan de los planes, programas y/o proyectos que antes de la entrada en operación de </w:t>
      </w:r>
      <w:proofErr w:type="spellStart"/>
      <w:r w:rsidRPr="002E09A3">
        <w:rPr>
          <w:i/>
          <w:iCs/>
        </w:rPr>
        <w:t>Fonenergía</w:t>
      </w:r>
      <w:proofErr w:type="spellEnd"/>
      <w:r w:rsidRPr="002E09A3">
        <w:rPr>
          <w:i/>
          <w:iCs/>
        </w:rPr>
        <w:t xml:space="preserve"> se financiaban con los recursos de los fondos FAZNI, FAER, PRONE, FECFGN, continuarán en cabeza del Ministerio de Minas y Energía a través del </w:t>
      </w:r>
      <w:proofErr w:type="spellStart"/>
      <w:r w:rsidRPr="002E09A3">
        <w:rPr>
          <w:i/>
          <w:iCs/>
        </w:rPr>
        <w:t>Fonenergía</w:t>
      </w:r>
      <w:proofErr w:type="spellEnd"/>
      <w:r w:rsidRPr="002E09A3">
        <w:rPr>
          <w:i/>
          <w:iCs/>
        </w:rPr>
        <w:t>.</w:t>
      </w:r>
    </w:p>
    <w:p w:rsidRPr="002E09A3" w:rsidR="00D233FF" w:rsidP="00D97D31" w:rsidRDefault="00D233FF" w14:paraId="393D430C" w14:textId="77777777">
      <w:pPr>
        <w:spacing w:beforeAutospacing="1" w:afterAutospacing="1"/>
        <w:ind w:left="708"/>
        <w:jc w:val="both"/>
        <w:rPr>
          <w:i/>
          <w:iCs/>
          <w:highlight w:val="yellow"/>
        </w:rPr>
      </w:pPr>
      <w:r w:rsidRPr="002E09A3">
        <w:rPr>
          <w:i/>
          <w:iCs/>
        </w:rPr>
        <w:t xml:space="preserve">Así mismo estos planes, programas y/o proyectos que a la entrada en operación de </w:t>
      </w:r>
      <w:proofErr w:type="spellStart"/>
      <w:r w:rsidRPr="002E09A3">
        <w:rPr>
          <w:i/>
          <w:iCs/>
        </w:rPr>
        <w:t>Fonenergía</w:t>
      </w:r>
      <w:proofErr w:type="spellEnd"/>
      <w:r w:rsidRPr="002E09A3">
        <w:rPr>
          <w:i/>
          <w:iCs/>
        </w:rPr>
        <w:t xml:space="preserve"> se encuentren evaluados y/o priorizados, pero respecto de los cuales no se haya asignado recursos por el Ministerio de Minas y Energía, deberán continuar su trámite ante el Comité de Administración de </w:t>
      </w:r>
      <w:proofErr w:type="spellStart"/>
      <w:r w:rsidRPr="002E09A3">
        <w:rPr>
          <w:i/>
          <w:iCs/>
        </w:rPr>
        <w:t>Fonenergía</w:t>
      </w:r>
      <w:proofErr w:type="spellEnd"/>
      <w:r w:rsidRPr="002E09A3">
        <w:rPr>
          <w:i/>
          <w:iCs/>
        </w:rPr>
        <w:t xml:space="preserve"> para su financiación, conservando su orden de priorización de acuerdo con el marco normativo aplicable al momento de su evaluación y/o lo dispuesto por el Manual Operativo (…)”</w:t>
      </w:r>
    </w:p>
    <w:p w:rsidR="00196E28" w:rsidP="00D97D31" w:rsidRDefault="00702F2D" w14:paraId="752116BD" w14:textId="4B78F5D2">
      <w:pPr>
        <w:spacing w:beforeAutospacing="1" w:afterAutospacing="1"/>
        <w:jc w:val="both"/>
      </w:pPr>
      <w:r>
        <w:t xml:space="preserve">Se pretende trasladar un valor de </w:t>
      </w:r>
      <w:r w:rsidRPr="2ABE19CD">
        <w:rPr>
          <w:highlight w:val="yellow"/>
        </w:rPr>
        <w:t>$ 10.203.600.018</w:t>
      </w:r>
      <w:r>
        <w:t xml:space="preserve"> para continuar con</w:t>
      </w:r>
      <w:r w:rsidR="00F021FF">
        <w:t xml:space="preserve"> las actividades de </w:t>
      </w:r>
      <w:r w:rsidR="001576D8">
        <w:t>a</w:t>
      </w:r>
      <w:r w:rsidRPr="00A0106C" w:rsidR="001576D8">
        <w:t>signa</w:t>
      </w:r>
      <w:r w:rsidR="001576D8">
        <w:t>ción de</w:t>
      </w:r>
      <w:r w:rsidRPr="00A0106C" w:rsidR="001576D8">
        <w:t xml:space="preserve"> recursos</w:t>
      </w:r>
      <w:r w:rsidRPr="00A0106C" w:rsidR="00A0106C">
        <w:t xml:space="preserve"> para financiar soluciones energéticas de planes, programas o proyectos </w:t>
      </w:r>
      <w:r w:rsidRPr="00A0106C" w:rsidR="00495AFE">
        <w:t xml:space="preserve">priorizados </w:t>
      </w:r>
      <w:r w:rsidR="00495AFE">
        <w:t>presentes</w:t>
      </w:r>
      <w:r w:rsidR="00F021FF">
        <w:t xml:space="preserve"> en FONENERGIA</w:t>
      </w:r>
      <w:r w:rsidR="75A95401">
        <w:t>, así como la planta temporal necesaria para su funcionamiento</w:t>
      </w:r>
      <w:r w:rsidR="00A0106C">
        <w:t>.</w:t>
      </w:r>
    </w:p>
    <w:p w:rsidR="00D233FF" w:rsidP="00D97D31" w:rsidRDefault="00D233FF" w14:paraId="7E41EF42" w14:textId="3BF65B80">
      <w:pPr>
        <w:spacing w:beforeAutospacing="1" w:afterAutospacing="1"/>
        <w:jc w:val="both"/>
      </w:pPr>
      <w:r>
        <w:t xml:space="preserve">Si bien </w:t>
      </w:r>
      <w:r w:rsidRPr="00EB1BC6">
        <w:t xml:space="preserve">las metas del proyecto </w:t>
      </w:r>
      <w:proofErr w:type="spellStart"/>
      <w:r>
        <w:t>contracreditado</w:t>
      </w:r>
      <w:proofErr w:type="spellEnd"/>
      <w:r>
        <w:t xml:space="preserve"> se cumplieron y no hay una afectación directa sobre la misma, el proyecto de inversión acreditado contempla la financiación de proyectos de inversión y la estructuración de los mismos; dado que su objetivo es aumentar la capacidad de la red eléctrica, el rubro a trasladar estará orientado a brindar soluciones energéticas a través de los proyectos que actualmente ya cuentan con concepto FAVORABLE ya que el objeto de FONENERGÍA es </w:t>
      </w:r>
      <w:r w:rsidRPr="00477D39">
        <w:t>la mejora de la calidad en el servicio, la expansión de la cobertura energética y la normalización de redes a través de soluciones de energía eléctrica</w:t>
      </w:r>
      <w:r>
        <w:t xml:space="preserve">. </w:t>
      </w:r>
    </w:p>
    <w:p w:rsidRPr="009D13BA" w:rsidR="00D233FF" w:rsidP="00D97D31" w:rsidRDefault="00D233FF" w14:paraId="04171B30" w14:textId="6B80343D">
      <w:pPr>
        <w:spacing w:after="0"/>
        <w:jc w:val="center"/>
        <w:rPr>
          <w:rFonts w:ascii="Calibri" w:hAnsi="Calibri" w:cs="Calibri"/>
          <w:b/>
          <w:bCs/>
        </w:rPr>
      </w:pPr>
      <w:r w:rsidRPr="009D13BA">
        <w:rPr>
          <w:rFonts w:ascii="Calibri" w:hAnsi="Calibri" w:cs="Calibri"/>
          <w:b/>
          <w:bCs/>
        </w:rPr>
        <w:t xml:space="preserve">Tabla </w:t>
      </w:r>
      <w:r w:rsidR="00032BC3">
        <w:rPr>
          <w:rFonts w:ascii="Calibri" w:hAnsi="Calibri" w:cs="Calibri"/>
          <w:b/>
          <w:bCs/>
        </w:rPr>
        <w:t>6</w:t>
      </w:r>
      <w:r w:rsidRPr="009D13BA">
        <w:rPr>
          <w:rFonts w:ascii="Calibri" w:hAnsi="Calibri" w:cs="Calibri"/>
          <w:b/>
          <w:bCs/>
        </w:rPr>
        <w:t>. Resumen del movimiento de recursos del proyecto de inversión BPIN 2022011000082</w:t>
      </w:r>
    </w:p>
    <w:p w:rsidRPr="005602A3" w:rsidR="00D233FF" w:rsidP="00D97D31" w:rsidRDefault="00D233FF" w14:paraId="057AA4DB" w14:textId="77777777">
      <w:pPr>
        <w:spacing w:after="0"/>
        <w:jc w:val="center"/>
        <w:rPr>
          <w:rFonts w:ascii="Calibri" w:hAnsi="Calibri" w:cs="Calibri"/>
          <w:b/>
          <w:bCs/>
          <w:highlight w:val="yellow"/>
        </w:rPr>
      </w:pPr>
    </w:p>
    <w:tbl>
      <w:tblPr>
        <w:tblW w:w="0" w:type="auto"/>
        <w:tblLayout w:type="fixed"/>
        <w:tblLook w:val="06A0" w:firstRow="1" w:lastRow="0" w:firstColumn="1" w:lastColumn="0" w:noHBand="1" w:noVBand="1"/>
      </w:tblPr>
      <w:tblGrid>
        <w:gridCol w:w="2405"/>
        <w:gridCol w:w="1843"/>
        <w:gridCol w:w="1843"/>
        <w:gridCol w:w="1078"/>
        <w:gridCol w:w="896"/>
        <w:gridCol w:w="1329"/>
      </w:tblGrid>
      <w:tr w:rsidR="00D233FF" w:rsidTr="009B3E82" w14:paraId="1BCA1A27" w14:textId="77777777">
        <w:trPr>
          <w:trHeight w:val="285"/>
        </w:trPr>
        <w:tc>
          <w:tcPr>
            <w:tcW w:w="240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vAlign w:val="center"/>
          </w:tcPr>
          <w:p w:rsidR="00D233FF" w:rsidP="00D97D31" w:rsidRDefault="00D233FF" w14:paraId="4D1323AC" w14:textId="77777777">
            <w:pPr>
              <w:spacing w:after="0"/>
              <w:jc w:val="center"/>
            </w:pPr>
            <w:r w:rsidRPr="56A15495">
              <w:rPr>
                <w:rFonts w:ascii="Calibri" w:hAnsi="Calibri" w:eastAsia="Calibri" w:cs="Calibri"/>
                <w:b/>
                <w:bCs/>
                <w:color w:val="000000" w:themeColor="text1"/>
              </w:rPr>
              <w:t>Actividad</w:t>
            </w:r>
          </w:p>
        </w:tc>
        <w:tc>
          <w:tcPr>
            <w:tcW w:w="184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vAlign w:val="center"/>
          </w:tcPr>
          <w:p w:rsidR="00D233FF" w:rsidP="00D97D31" w:rsidRDefault="00D233FF" w14:paraId="724C6D93" w14:textId="77777777">
            <w:pPr>
              <w:spacing w:after="0"/>
              <w:jc w:val="center"/>
            </w:pPr>
            <w:r w:rsidRPr="56A15495">
              <w:rPr>
                <w:rFonts w:ascii="Calibri" w:hAnsi="Calibri" w:eastAsia="Calibri" w:cs="Calibri"/>
                <w:b/>
                <w:bCs/>
                <w:color w:val="000000" w:themeColor="text1"/>
              </w:rPr>
              <w:t>Valor Vigente</w:t>
            </w:r>
          </w:p>
        </w:tc>
        <w:tc>
          <w:tcPr>
            <w:tcW w:w="184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vAlign w:val="center"/>
          </w:tcPr>
          <w:p w:rsidR="00D233FF" w:rsidP="00D97D31" w:rsidRDefault="00D233FF" w14:paraId="79149669" w14:textId="77777777">
            <w:pPr>
              <w:spacing w:after="0"/>
              <w:jc w:val="center"/>
            </w:pPr>
            <w:r w:rsidRPr="56A15495">
              <w:rPr>
                <w:rFonts w:ascii="Calibri" w:hAnsi="Calibri" w:eastAsia="Calibri" w:cs="Calibri"/>
                <w:b/>
                <w:bCs/>
                <w:color w:val="000000" w:themeColor="text1"/>
              </w:rPr>
              <w:t>Compromiso</w:t>
            </w:r>
          </w:p>
        </w:tc>
        <w:tc>
          <w:tcPr>
            <w:tcW w:w="107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vAlign w:val="center"/>
          </w:tcPr>
          <w:p w:rsidR="00D233FF" w:rsidP="00D97D31" w:rsidRDefault="00D233FF" w14:paraId="25DB3DA5" w14:textId="77777777">
            <w:pPr>
              <w:jc w:val="center"/>
              <w:rPr>
                <w:rFonts w:ascii="Calibri" w:hAnsi="Calibri" w:eastAsia="Calibri" w:cs="Calibri"/>
                <w:b/>
                <w:bCs/>
                <w:color w:val="000000" w:themeColor="text1"/>
              </w:rPr>
            </w:pPr>
            <w:r w:rsidRPr="56A15495">
              <w:rPr>
                <w:rFonts w:ascii="Calibri" w:hAnsi="Calibri" w:eastAsia="Calibri" w:cs="Calibri"/>
                <w:b/>
                <w:bCs/>
                <w:color w:val="000000" w:themeColor="text1"/>
              </w:rPr>
              <w:t>Contra crédito</w:t>
            </w:r>
          </w:p>
        </w:tc>
        <w:tc>
          <w:tcPr>
            <w:tcW w:w="89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vAlign w:val="center"/>
          </w:tcPr>
          <w:p w:rsidR="00D233FF" w:rsidP="00D97D31" w:rsidRDefault="00D233FF" w14:paraId="66D8B463" w14:textId="77777777">
            <w:pPr>
              <w:jc w:val="center"/>
              <w:rPr>
                <w:rFonts w:ascii="Calibri" w:hAnsi="Calibri" w:eastAsia="Calibri" w:cs="Calibri"/>
                <w:b/>
                <w:bCs/>
                <w:color w:val="000000" w:themeColor="text1"/>
              </w:rPr>
            </w:pPr>
            <w:r w:rsidRPr="56A15495">
              <w:rPr>
                <w:rFonts w:ascii="Calibri" w:hAnsi="Calibri" w:eastAsia="Calibri" w:cs="Calibri"/>
                <w:b/>
                <w:bCs/>
                <w:color w:val="000000" w:themeColor="text1"/>
              </w:rPr>
              <w:t>Crédito</w:t>
            </w:r>
          </w:p>
        </w:tc>
        <w:tc>
          <w:tcPr>
            <w:tcW w:w="13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vAlign w:val="center"/>
          </w:tcPr>
          <w:p w:rsidR="00D233FF" w:rsidP="00D97D31" w:rsidRDefault="00D233FF" w14:paraId="228D24D1" w14:textId="77777777">
            <w:pPr>
              <w:jc w:val="center"/>
              <w:rPr>
                <w:rFonts w:ascii="Calibri" w:hAnsi="Calibri" w:eastAsia="Calibri" w:cs="Calibri"/>
                <w:b/>
                <w:bCs/>
                <w:color w:val="000000" w:themeColor="text1"/>
              </w:rPr>
            </w:pPr>
            <w:r w:rsidRPr="56A15495">
              <w:rPr>
                <w:rFonts w:ascii="Calibri" w:hAnsi="Calibri" w:eastAsia="Calibri" w:cs="Calibri"/>
                <w:b/>
                <w:bCs/>
                <w:color w:val="000000" w:themeColor="text1"/>
              </w:rPr>
              <w:t>Valor después del movimiento</w:t>
            </w:r>
          </w:p>
        </w:tc>
      </w:tr>
      <w:tr w:rsidR="00D233FF" w:rsidTr="009B3E82" w14:paraId="2077CD17" w14:textId="77777777">
        <w:trPr>
          <w:trHeight w:val="975"/>
        </w:trPr>
        <w:tc>
          <w:tcPr>
            <w:tcW w:w="240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bottom"/>
          </w:tcPr>
          <w:p w:rsidR="00D233FF" w:rsidP="00D97D31" w:rsidRDefault="00D233FF" w14:paraId="335A14CC" w14:textId="77777777">
            <w:pPr>
              <w:spacing w:after="0"/>
              <w:jc w:val="both"/>
            </w:pPr>
            <w:r>
              <w:rPr>
                <w:rFonts w:ascii="Calibri" w:hAnsi="Calibri" w:eastAsia="Calibri" w:cs="Calibri"/>
                <w:color w:val="000000" w:themeColor="text1"/>
                <w:sz w:val="18"/>
                <w:szCs w:val="18"/>
              </w:rPr>
              <w:t xml:space="preserve">1.1.1 </w:t>
            </w:r>
            <w:r w:rsidRPr="56A15495">
              <w:rPr>
                <w:rFonts w:ascii="Calibri" w:hAnsi="Calibri" w:eastAsia="Calibri" w:cs="Calibri"/>
                <w:color w:val="000000" w:themeColor="text1"/>
                <w:sz w:val="18"/>
                <w:szCs w:val="18"/>
              </w:rPr>
              <w:t>Girar los recursos destinados a financiar los planes, programas y proyectos para el mejoramiento de la infraestructura eléctrica</w:t>
            </w:r>
          </w:p>
        </w:tc>
        <w:tc>
          <w:tcPr>
            <w:tcW w:w="1843"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00D233FF" w:rsidP="00D97D31" w:rsidRDefault="00D233FF" w14:paraId="21DCACA7" w14:textId="77777777">
            <w:pPr>
              <w:spacing w:after="0"/>
              <w:jc w:val="center"/>
              <w:rPr>
                <w:rFonts w:ascii="Calibri" w:hAnsi="Calibri" w:eastAsia="Calibri" w:cs="Calibri"/>
                <w:color w:val="000000" w:themeColor="text1"/>
              </w:rPr>
            </w:pPr>
            <w:r w:rsidRPr="0F263A78">
              <w:rPr>
                <w:rFonts w:ascii="Calibri" w:hAnsi="Calibri" w:eastAsia="Calibri" w:cs="Calibri"/>
                <w:color w:val="000000" w:themeColor="text1"/>
              </w:rPr>
              <w:t>---</w:t>
            </w:r>
          </w:p>
        </w:tc>
        <w:tc>
          <w:tcPr>
            <w:tcW w:w="1843"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00D233FF" w:rsidP="00D97D31" w:rsidRDefault="00D233FF" w14:paraId="29D854A4" w14:textId="77777777">
            <w:pPr>
              <w:spacing w:after="0"/>
              <w:jc w:val="center"/>
              <w:rPr>
                <w:rFonts w:ascii="Calibri" w:hAnsi="Calibri" w:eastAsia="Calibri" w:cs="Calibri"/>
                <w:color w:val="000000" w:themeColor="text1"/>
              </w:rPr>
            </w:pPr>
            <w:r w:rsidRPr="0F263A78">
              <w:rPr>
                <w:rFonts w:ascii="Calibri" w:hAnsi="Calibri" w:eastAsia="Calibri" w:cs="Calibri"/>
                <w:color w:val="000000" w:themeColor="text1"/>
              </w:rPr>
              <w:t xml:space="preserve">--- </w:t>
            </w:r>
          </w:p>
        </w:tc>
        <w:tc>
          <w:tcPr>
            <w:tcW w:w="107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00D233FF" w:rsidP="00D97D31" w:rsidRDefault="00D233FF" w14:paraId="6B33E67A" w14:textId="77777777">
            <w:pPr>
              <w:jc w:val="center"/>
              <w:rPr>
                <w:rFonts w:ascii="Calibri" w:hAnsi="Calibri" w:eastAsia="Calibri" w:cs="Calibri"/>
                <w:color w:val="000000" w:themeColor="text1"/>
              </w:rPr>
            </w:pPr>
          </w:p>
        </w:tc>
        <w:tc>
          <w:tcPr>
            <w:tcW w:w="89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00D233FF" w:rsidP="00D97D31" w:rsidRDefault="00D233FF" w14:paraId="411DBA6D" w14:textId="77777777">
            <w:pPr>
              <w:jc w:val="center"/>
              <w:rPr>
                <w:rFonts w:ascii="Calibri" w:hAnsi="Calibri" w:eastAsia="Calibri" w:cs="Calibri"/>
                <w:color w:val="000000" w:themeColor="text1"/>
              </w:rPr>
            </w:pPr>
          </w:p>
        </w:tc>
        <w:tc>
          <w:tcPr>
            <w:tcW w:w="132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00D233FF" w:rsidP="00D97D31" w:rsidRDefault="00D233FF" w14:paraId="2C85B4DA" w14:textId="77777777">
            <w:pPr>
              <w:jc w:val="center"/>
              <w:rPr>
                <w:rFonts w:ascii="Calibri" w:hAnsi="Calibri" w:eastAsia="Calibri" w:cs="Calibri"/>
                <w:color w:val="000000" w:themeColor="text1"/>
              </w:rPr>
            </w:pPr>
          </w:p>
        </w:tc>
      </w:tr>
      <w:tr w:rsidR="00D233FF" w:rsidTr="009B3E82" w14:paraId="1C591DD4" w14:textId="77777777">
        <w:trPr>
          <w:trHeight w:val="735"/>
        </w:trPr>
        <w:tc>
          <w:tcPr>
            <w:tcW w:w="240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bottom"/>
          </w:tcPr>
          <w:p w:rsidR="00D233FF" w:rsidP="00D97D31" w:rsidRDefault="00D233FF" w14:paraId="2F03A02E" w14:textId="77777777">
            <w:pPr>
              <w:spacing w:after="0"/>
              <w:jc w:val="both"/>
            </w:pPr>
            <w:r>
              <w:rPr>
                <w:rFonts w:ascii="Calibri" w:hAnsi="Calibri" w:eastAsia="Calibri" w:cs="Calibri"/>
                <w:color w:val="000000" w:themeColor="text1"/>
                <w:sz w:val="18"/>
                <w:szCs w:val="18"/>
              </w:rPr>
              <w:t xml:space="preserve">1.1.2 </w:t>
            </w:r>
            <w:r w:rsidRPr="56A15495">
              <w:rPr>
                <w:rFonts w:ascii="Calibri" w:hAnsi="Calibri" w:eastAsia="Calibri" w:cs="Calibri"/>
                <w:color w:val="000000" w:themeColor="text1"/>
                <w:sz w:val="18"/>
                <w:szCs w:val="18"/>
              </w:rPr>
              <w:t>Girar los recursos destinados a financiar los planes, programas y proyectos para la construcción e instalación de nueva infraestructura</w:t>
            </w:r>
          </w:p>
        </w:tc>
        <w:tc>
          <w:tcPr>
            <w:tcW w:w="1843"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00D233FF" w:rsidP="00D97D31" w:rsidRDefault="00D233FF" w14:paraId="3924E0B9" w14:textId="77777777">
            <w:pPr>
              <w:spacing w:after="0"/>
            </w:pPr>
            <w:r w:rsidRPr="56A15495">
              <w:rPr>
                <w:rFonts w:ascii="Calibri" w:hAnsi="Calibri" w:eastAsia="Calibri" w:cs="Calibri"/>
                <w:color w:val="000000" w:themeColor="text1"/>
              </w:rPr>
              <w:t>$211.171.200.000</w:t>
            </w:r>
          </w:p>
        </w:tc>
        <w:tc>
          <w:tcPr>
            <w:tcW w:w="1843"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00D233FF" w:rsidP="00D97D31" w:rsidRDefault="00D233FF" w14:paraId="56CDF525" w14:textId="77777777">
            <w:pPr>
              <w:spacing w:after="0"/>
              <w:ind w:right="-109"/>
            </w:pPr>
            <w:r>
              <w:rPr>
                <w:rFonts w:ascii="Calibri" w:hAnsi="Calibri" w:eastAsia="Calibri" w:cs="Calibri"/>
                <w:color w:val="000000" w:themeColor="text1"/>
              </w:rPr>
              <w:t xml:space="preserve">$ </w:t>
            </w:r>
            <w:r w:rsidRPr="56A15495">
              <w:rPr>
                <w:rFonts w:ascii="Calibri" w:hAnsi="Calibri" w:eastAsia="Calibri" w:cs="Calibri"/>
                <w:color w:val="000000" w:themeColor="text1"/>
              </w:rPr>
              <w:t>208.853.880.457</w:t>
            </w:r>
          </w:p>
        </w:tc>
        <w:tc>
          <w:tcPr>
            <w:tcW w:w="107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00D233FF" w:rsidP="00D97D31" w:rsidRDefault="00D233FF" w14:paraId="36426169" w14:textId="77777777">
            <w:pPr>
              <w:jc w:val="center"/>
              <w:rPr>
                <w:rFonts w:ascii="Calibri" w:hAnsi="Calibri" w:eastAsia="Calibri" w:cs="Calibri"/>
                <w:color w:val="000000" w:themeColor="text1"/>
              </w:rPr>
            </w:pPr>
          </w:p>
        </w:tc>
        <w:tc>
          <w:tcPr>
            <w:tcW w:w="89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00D233FF" w:rsidP="00D97D31" w:rsidRDefault="00D233FF" w14:paraId="2B9FD23C" w14:textId="77777777">
            <w:pPr>
              <w:jc w:val="center"/>
              <w:rPr>
                <w:rFonts w:ascii="Calibri" w:hAnsi="Calibri" w:eastAsia="Calibri" w:cs="Calibri"/>
                <w:color w:val="000000" w:themeColor="text1"/>
              </w:rPr>
            </w:pPr>
          </w:p>
        </w:tc>
        <w:tc>
          <w:tcPr>
            <w:tcW w:w="132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00D233FF" w:rsidP="00D97D31" w:rsidRDefault="00D233FF" w14:paraId="2D512083" w14:textId="77777777">
            <w:pPr>
              <w:jc w:val="center"/>
              <w:rPr>
                <w:rFonts w:ascii="Calibri" w:hAnsi="Calibri" w:eastAsia="Calibri" w:cs="Calibri"/>
                <w:color w:val="000000" w:themeColor="text1"/>
              </w:rPr>
            </w:pPr>
          </w:p>
        </w:tc>
      </w:tr>
      <w:tr w:rsidR="00D233FF" w:rsidTr="009B3E82" w14:paraId="63ABFCF7" w14:textId="77777777">
        <w:trPr>
          <w:trHeight w:val="720"/>
        </w:trPr>
        <w:tc>
          <w:tcPr>
            <w:tcW w:w="240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bottom"/>
          </w:tcPr>
          <w:p w:rsidR="00D233FF" w:rsidP="00D97D31" w:rsidRDefault="00D233FF" w14:paraId="21DA187F" w14:textId="77777777">
            <w:pPr>
              <w:spacing w:after="0"/>
              <w:jc w:val="both"/>
            </w:pPr>
            <w:r>
              <w:rPr>
                <w:rFonts w:ascii="Calibri" w:hAnsi="Calibri" w:eastAsia="Calibri" w:cs="Calibri"/>
                <w:color w:val="000000" w:themeColor="text1"/>
                <w:sz w:val="18"/>
                <w:szCs w:val="18"/>
              </w:rPr>
              <w:t xml:space="preserve">1.1.3 </w:t>
            </w:r>
            <w:r w:rsidRPr="56A15495">
              <w:rPr>
                <w:rFonts w:ascii="Calibri" w:hAnsi="Calibri" w:eastAsia="Calibri" w:cs="Calibri"/>
                <w:color w:val="000000" w:themeColor="text1"/>
                <w:sz w:val="18"/>
                <w:szCs w:val="18"/>
              </w:rPr>
              <w:t>Girar los recursos para asistencia técnica y capacitación en el uso adecuado de la energía para su sostenibilidad</w:t>
            </w:r>
          </w:p>
        </w:tc>
        <w:tc>
          <w:tcPr>
            <w:tcW w:w="1843"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00D233FF" w:rsidP="00D97D31" w:rsidRDefault="00D233FF" w14:paraId="46EA88BE" w14:textId="77777777">
            <w:pPr>
              <w:spacing w:after="0"/>
            </w:pPr>
            <w:r w:rsidRPr="56A15495">
              <w:rPr>
                <w:rFonts w:ascii="Calibri" w:hAnsi="Calibri" w:eastAsia="Calibri" w:cs="Calibri"/>
                <w:color w:val="000000" w:themeColor="text1"/>
              </w:rPr>
              <w:t>$ 6.246.384.751</w:t>
            </w:r>
          </w:p>
        </w:tc>
        <w:tc>
          <w:tcPr>
            <w:tcW w:w="1843"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00D233FF" w:rsidP="00D97D31" w:rsidRDefault="00D233FF" w14:paraId="2E8CBB3D" w14:textId="77777777">
            <w:pPr>
              <w:spacing w:after="0"/>
              <w:jc w:val="center"/>
            </w:pPr>
            <w:r>
              <w:rPr>
                <w:rFonts w:ascii="Calibri" w:hAnsi="Calibri" w:eastAsia="Calibri" w:cs="Calibri"/>
                <w:color w:val="000000" w:themeColor="text1"/>
              </w:rPr>
              <w:t>---</w:t>
            </w:r>
          </w:p>
        </w:tc>
        <w:tc>
          <w:tcPr>
            <w:tcW w:w="107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00D233FF" w:rsidP="00D97D31" w:rsidRDefault="00D233FF" w14:paraId="67F7E14F" w14:textId="77777777">
            <w:r w:rsidRPr="56A15495">
              <w:rPr>
                <w:rFonts w:ascii="Calibri" w:hAnsi="Calibri" w:eastAsia="Calibri" w:cs="Calibri"/>
                <w:color w:val="000000" w:themeColor="text1"/>
              </w:rPr>
              <w:t>$</w:t>
            </w:r>
            <w:r>
              <w:rPr>
                <w:rFonts w:ascii="Calibri" w:hAnsi="Calibri" w:eastAsia="Calibri" w:cs="Calibri"/>
                <w:color w:val="000000" w:themeColor="text1"/>
              </w:rPr>
              <w:t xml:space="preserve"> </w:t>
            </w:r>
            <w:r w:rsidRPr="56A15495">
              <w:rPr>
                <w:rFonts w:ascii="Calibri" w:hAnsi="Calibri" w:eastAsia="Calibri" w:cs="Calibri"/>
                <w:color w:val="000000" w:themeColor="text1"/>
              </w:rPr>
              <w:t>6.246.384.751</w:t>
            </w:r>
          </w:p>
        </w:tc>
        <w:tc>
          <w:tcPr>
            <w:tcW w:w="89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00D233FF" w:rsidP="00D97D31" w:rsidRDefault="00D233FF" w14:paraId="2B8B7ED9" w14:textId="77777777">
            <w:pPr>
              <w:jc w:val="center"/>
              <w:rPr>
                <w:rFonts w:ascii="Calibri" w:hAnsi="Calibri" w:eastAsia="Calibri" w:cs="Calibri"/>
                <w:color w:val="000000" w:themeColor="text1"/>
              </w:rPr>
            </w:pPr>
          </w:p>
        </w:tc>
        <w:tc>
          <w:tcPr>
            <w:tcW w:w="132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00D233FF" w:rsidP="00D97D31" w:rsidRDefault="00D233FF" w14:paraId="218E1AEF" w14:textId="77777777">
            <w:pPr>
              <w:jc w:val="center"/>
              <w:rPr>
                <w:rFonts w:ascii="Calibri" w:hAnsi="Calibri" w:eastAsia="Calibri" w:cs="Calibri"/>
                <w:color w:val="000000" w:themeColor="text1"/>
              </w:rPr>
            </w:pPr>
          </w:p>
        </w:tc>
      </w:tr>
      <w:tr w:rsidR="00D233FF" w:rsidTr="009B3E82" w14:paraId="2C0042E1" w14:textId="77777777">
        <w:trPr>
          <w:trHeight w:val="495"/>
        </w:trPr>
        <w:tc>
          <w:tcPr>
            <w:tcW w:w="2405"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00D233FF" w:rsidP="00D97D31" w:rsidRDefault="00D233FF" w14:paraId="58148E22" w14:textId="77777777">
            <w:pPr>
              <w:spacing w:after="0"/>
              <w:jc w:val="both"/>
            </w:pPr>
            <w:r>
              <w:rPr>
                <w:rFonts w:ascii="Calibri" w:hAnsi="Calibri" w:eastAsia="Calibri" w:cs="Calibri"/>
                <w:color w:val="000000" w:themeColor="text1"/>
                <w:sz w:val="18"/>
                <w:szCs w:val="18"/>
              </w:rPr>
              <w:t xml:space="preserve">1.1.4 </w:t>
            </w:r>
            <w:r w:rsidRPr="56A15495">
              <w:rPr>
                <w:rFonts w:ascii="Calibri" w:hAnsi="Calibri" w:eastAsia="Calibri" w:cs="Calibri"/>
                <w:color w:val="000000" w:themeColor="text1"/>
                <w:sz w:val="18"/>
                <w:szCs w:val="18"/>
              </w:rPr>
              <w:t>Realizar seguimiento a la ejecución de los planes, programas y proyectos</w:t>
            </w:r>
          </w:p>
        </w:tc>
        <w:tc>
          <w:tcPr>
            <w:tcW w:w="1843"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00D233FF" w:rsidP="00D97D31" w:rsidRDefault="00D233FF" w14:paraId="279D989A" w14:textId="77777777">
            <w:pPr>
              <w:spacing w:after="0"/>
              <w:jc w:val="right"/>
            </w:pPr>
            <w:r w:rsidRPr="56A15495">
              <w:rPr>
                <w:rFonts w:ascii="Calibri" w:hAnsi="Calibri" w:eastAsia="Calibri" w:cs="Calibri"/>
                <w:color w:val="000000" w:themeColor="text1"/>
              </w:rPr>
              <w:t>$ 12.582.415.249</w:t>
            </w:r>
          </w:p>
        </w:tc>
        <w:tc>
          <w:tcPr>
            <w:tcW w:w="1843"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00D233FF" w:rsidP="00D97D31" w:rsidRDefault="00D233FF" w14:paraId="63F41526" w14:textId="77777777">
            <w:pPr>
              <w:spacing w:after="0"/>
            </w:pPr>
            <w:r>
              <w:rPr>
                <w:rFonts w:ascii="Calibri" w:hAnsi="Calibri" w:eastAsia="Calibri" w:cs="Calibri"/>
                <w:color w:val="000000" w:themeColor="text1"/>
              </w:rPr>
              <w:t xml:space="preserve">$ </w:t>
            </w:r>
            <w:r w:rsidRPr="56A15495">
              <w:rPr>
                <w:rFonts w:ascii="Calibri" w:hAnsi="Calibri" w:eastAsia="Calibri" w:cs="Calibri"/>
                <w:color w:val="000000" w:themeColor="text1"/>
              </w:rPr>
              <w:t>9.562.549.559</w:t>
            </w:r>
          </w:p>
        </w:tc>
        <w:tc>
          <w:tcPr>
            <w:tcW w:w="107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00D233FF" w:rsidP="00D97D31" w:rsidRDefault="00D233FF" w14:paraId="25DC3E67" w14:textId="77777777">
            <w:pPr>
              <w:rPr>
                <w:rFonts w:ascii="Calibri" w:hAnsi="Calibri" w:eastAsia="Calibri" w:cs="Calibri"/>
                <w:color w:val="000000" w:themeColor="text1"/>
              </w:rPr>
            </w:pPr>
          </w:p>
        </w:tc>
        <w:tc>
          <w:tcPr>
            <w:tcW w:w="89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00D233FF" w:rsidP="00D97D31" w:rsidRDefault="00D233FF" w14:paraId="0D52C8F7" w14:textId="77777777">
            <w:pPr>
              <w:jc w:val="center"/>
              <w:rPr>
                <w:rFonts w:ascii="Calibri" w:hAnsi="Calibri" w:eastAsia="Calibri" w:cs="Calibri"/>
                <w:color w:val="000000" w:themeColor="text1"/>
              </w:rPr>
            </w:pPr>
          </w:p>
        </w:tc>
        <w:tc>
          <w:tcPr>
            <w:tcW w:w="132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00D233FF" w:rsidP="00D97D31" w:rsidRDefault="00D233FF" w14:paraId="3BF47383" w14:textId="77777777">
            <w:pPr>
              <w:jc w:val="center"/>
              <w:rPr>
                <w:rFonts w:ascii="Calibri" w:hAnsi="Calibri" w:eastAsia="Calibri" w:cs="Calibri"/>
                <w:color w:val="000000" w:themeColor="text1"/>
              </w:rPr>
            </w:pPr>
          </w:p>
        </w:tc>
      </w:tr>
      <w:tr w:rsidR="00D233FF" w:rsidTr="009B3E82" w14:paraId="21D39FF8" w14:textId="77777777">
        <w:trPr>
          <w:trHeight w:val="285"/>
        </w:trPr>
        <w:tc>
          <w:tcPr>
            <w:tcW w:w="2405"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vAlign w:val="center"/>
          </w:tcPr>
          <w:p w:rsidR="00D233FF" w:rsidP="00D97D31" w:rsidRDefault="00D233FF" w14:paraId="211286DC" w14:textId="77777777">
            <w:pPr>
              <w:spacing w:after="0"/>
              <w:jc w:val="center"/>
            </w:pPr>
            <w:r w:rsidRPr="56A15495">
              <w:rPr>
                <w:rFonts w:ascii="Calibri" w:hAnsi="Calibri" w:eastAsia="Calibri" w:cs="Calibri"/>
                <w:b/>
                <w:bCs/>
                <w:color w:val="000000" w:themeColor="text1"/>
              </w:rPr>
              <w:t>TOTAL</w:t>
            </w:r>
          </w:p>
        </w:tc>
        <w:tc>
          <w:tcPr>
            <w:tcW w:w="184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vAlign w:val="center"/>
          </w:tcPr>
          <w:p w:rsidR="00D233FF" w:rsidP="00D97D31" w:rsidRDefault="00D233FF" w14:paraId="5ECC6695" w14:textId="77777777">
            <w:pPr>
              <w:spacing w:after="0"/>
              <w:ind w:left="-109"/>
            </w:pPr>
            <w:r w:rsidRPr="56A15495">
              <w:rPr>
                <w:rFonts w:ascii="Calibri" w:hAnsi="Calibri" w:eastAsia="Calibri" w:cs="Calibri"/>
                <w:b/>
                <w:bCs/>
                <w:color w:val="000000" w:themeColor="text1"/>
              </w:rPr>
              <w:t xml:space="preserve"> </w:t>
            </w:r>
            <w:r>
              <w:rPr>
                <w:rFonts w:ascii="Calibri" w:hAnsi="Calibri" w:eastAsia="Calibri" w:cs="Calibri"/>
                <w:b/>
                <w:bCs/>
                <w:color w:val="000000" w:themeColor="text1"/>
              </w:rPr>
              <w:t>$</w:t>
            </w:r>
            <w:r w:rsidRPr="56A15495">
              <w:rPr>
                <w:rFonts w:ascii="Calibri" w:hAnsi="Calibri" w:eastAsia="Calibri" w:cs="Calibri"/>
                <w:b/>
                <w:bCs/>
                <w:color w:val="000000" w:themeColor="text1"/>
              </w:rPr>
              <w:t>230.000.000.000</w:t>
            </w:r>
          </w:p>
        </w:tc>
        <w:tc>
          <w:tcPr>
            <w:tcW w:w="1843"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vAlign w:val="center"/>
          </w:tcPr>
          <w:p w:rsidR="00D233FF" w:rsidP="00D97D31" w:rsidRDefault="00D233FF" w14:paraId="628858F7" w14:textId="77777777">
            <w:pPr>
              <w:spacing w:after="0"/>
            </w:pPr>
            <w:r w:rsidRPr="56A15495">
              <w:rPr>
                <w:rFonts w:ascii="Calibri" w:hAnsi="Calibri" w:eastAsia="Calibri" w:cs="Calibri"/>
                <w:b/>
                <w:bCs/>
                <w:color w:val="000000" w:themeColor="text1"/>
              </w:rPr>
              <w:t>$218.416.430.016</w:t>
            </w:r>
          </w:p>
        </w:tc>
        <w:tc>
          <w:tcPr>
            <w:tcW w:w="107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vAlign w:val="center"/>
          </w:tcPr>
          <w:p w:rsidR="00D233FF" w:rsidP="00D97D31" w:rsidRDefault="00D233FF" w14:paraId="23C9D8B8" w14:textId="77777777">
            <w:pPr>
              <w:jc w:val="center"/>
              <w:rPr>
                <w:rFonts w:ascii="Calibri" w:hAnsi="Calibri" w:eastAsia="Calibri" w:cs="Calibri"/>
                <w:b/>
                <w:bCs/>
                <w:color w:val="000000" w:themeColor="text1"/>
              </w:rPr>
            </w:pPr>
          </w:p>
        </w:tc>
        <w:tc>
          <w:tcPr>
            <w:tcW w:w="89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vAlign w:val="center"/>
          </w:tcPr>
          <w:p w:rsidR="00D233FF" w:rsidP="00D97D31" w:rsidRDefault="00D233FF" w14:paraId="118BCE48" w14:textId="77777777">
            <w:pPr>
              <w:jc w:val="center"/>
              <w:rPr>
                <w:rFonts w:ascii="Calibri" w:hAnsi="Calibri" w:eastAsia="Calibri" w:cs="Calibri"/>
                <w:b/>
                <w:bCs/>
                <w:color w:val="000000" w:themeColor="text1"/>
              </w:rPr>
            </w:pPr>
          </w:p>
        </w:tc>
        <w:tc>
          <w:tcPr>
            <w:tcW w:w="132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vAlign w:val="center"/>
          </w:tcPr>
          <w:p w:rsidR="00D233FF" w:rsidP="00D97D31" w:rsidRDefault="00D233FF" w14:paraId="3B7565EA" w14:textId="77777777">
            <w:pPr>
              <w:jc w:val="center"/>
              <w:rPr>
                <w:rFonts w:ascii="Calibri" w:hAnsi="Calibri" w:eastAsia="Calibri" w:cs="Calibri"/>
                <w:b/>
                <w:bCs/>
                <w:color w:val="000000" w:themeColor="text1"/>
              </w:rPr>
            </w:pPr>
          </w:p>
        </w:tc>
      </w:tr>
    </w:tbl>
    <w:p w:rsidR="00D233FF" w:rsidP="00D97D31" w:rsidRDefault="00D233FF" w14:paraId="223D365C" w14:textId="77777777">
      <w:pPr>
        <w:spacing w:after="0"/>
        <w:ind w:left="-426"/>
        <w:jc w:val="center"/>
        <w:rPr>
          <w:rFonts w:ascii="Calibri" w:hAnsi="Calibri" w:cs="Calibri"/>
        </w:rPr>
      </w:pPr>
      <w:r w:rsidRPr="009D13BA">
        <w:rPr>
          <w:b/>
          <w:bCs/>
          <w:i/>
          <w:iCs/>
          <w:sz w:val="18"/>
          <w:szCs w:val="18"/>
        </w:rPr>
        <w:t xml:space="preserve">Fuente: </w:t>
      </w:r>
      <w:r w:rsidRPr="009D13BA">
        <w:rPr>
          <w:sz w:val="18"/>
          <w:szCs w:val="18"/>
        </w:rPr>
        <w:t xml:space="preserve">PIIP – Meta de los proyectos de inversión </w:t>
      </w:r>
      <w:proofErr w:type="spellStart"/>
      <w:r w:rsidRPr="009D13BA">
        <w:rPr>
          <w:sz w:val="18"/>
          <w:szCs w:val="18"/>
        </w:rPr>
        <w:t>contracreditos</w:t>
      </w:r>
      <w:proofErr w:type="spellEnd"/>
    </w:p>
    <w:p w:rsidR="00D233FF" w:rsidP="00D97D31" w:rsidRDefault="00D233FF" w14:paraId="3EF2DD6D" w14:textId="77777777">
      <w:pPr>
        <w:spacing w:after="0"/>
        <w:ind w:left="-426"/>
        <w:jc w:val="center"/>
      </w:pPr>
    </w:p>
    <w:p w:rsidRPr="00D233FF" w:rsidR="00D233FF" w:rsidP="00D97D31" w:rsidRDefault="00D233FF" w14:paraId="0B16FAF9" w14:textId="3C2B16E1">
      <w:pPr>
        <w:pStyle w:val="Heading2"/>
        <w:numPr>
          <w:ilvl w:val="1"/>
          <w:numId w:val="11"/>
        </w:numPr>
      </w:pPr>
      <w:bookmarkStart w:name="_Toc230792112" w:id="7"/>
      <w:r w:rsidRPr="00D233FF">
        <w:t>Mejoramiento del servicio de energía eléctrica en las zonas rurales del territorio nacional</w:t>
      </w:r>
      <w:bookmarkEnd w:id="7"/>
    </w:p>
    <w:p w:rsidR="00D233FF" w:rsidP="00D97D31" w:rsidRDefault="00D233FF" w14:paraId="0BCFC0FB" w14:textId="77777777">
      <w:pPr>
        <w:pStyle w:val="ListParagraph"/>
        <w:spacing w:after="0" w:line="276" w:lineRule="auto"/>
        <w:ind w:left="1080"/>
        <w:rPr>
          <w:rFonts w:ascii="Calibri" w:hAnsi="Calibri" w:cs="Calibri"/>
        </w:rPr>
      </w:pPr>
    </w:p>
    <w:p w:rsidRPr="00F92455" w:rsidR="00D233FF" w:rsidP="00D97D31" w:rsidRDefault="00D233FF" w14:paraId="4162EE47" w14:textId="77777777">
      <w:pPr>
        <w:jc w:val="both"/>
      </w:pPr>
      <w:r>
        <w:t>El proyecto de inversión al cual corresponden los recursos objeto de traslado, denominado “</w:t>
      </w:r>
      <w:r w:rsidRPr="00321A8A">
        <w:t>Mejoramiento del servicio de energía eléctrica en las zonas rurales del territorio nacional</w:t>
      </w:r>
      <w:r>
        <w:t>”, identificado con BPIN 2018011001048 y asociado al Fondo de Apoyo Financiero para la Energización de las Zonas Rurales Interconectadas – FAER, tiene como objetivo general contribuir al aumento de la cobertura y acceso al servicio de energía eléctrica en las zonas rurales interconectadas del país, mediante la financiación de proyectos de infraestructura eléctrica orientados a mejorar las condiciones de prestación del servicio y promover el desarrollo social y económico de las comunidades beneficiarias.</w:t>
      </w:r>
    </w:p>
    <w:p w:rsidR="00D233FF" w:rsidP="00D97D31" w:rsidRDefault="00D233FF" w14:paraId="0B5BDF2E" w14:textId="77777777">
      <w:pPr>
        <w:jc w:val="both"/>
      </w:pPr>
      <w:r w:rsidRPr="0023669D">
        <w:t xml:space="preserve">El proyecto se encuentra dirigido principalmente a población rural ubicada en áreas del Sistema Interconectado Nacional – SIN que aún no cuenta con acceso al servicio público de energía eléctrica o que presenta deficiencias en la prestación </w:t>
      </w:r>
      <w:proofErr w:type="gramStart"/>
      <w:r w:rsidRPr="0023669D">
        <w:t>del mismo</w:t>
      </w:r>
      <w:proofErr w:type="gramEnd"/>
      <w:r w:rsidRPr="0023669D">
        <w:t>, especialmente en territorios con dispersión poblacional, limitaciones geográficas y bajos niveles de cobertura energética.</w:t>
      </w:r>
    </w:p>
    <w:p w:rsidRPr="00F92455" w:rsidR="00D233FF" w:rsidP="00D97D31" w:rsidRDefault="00D233FF" w14:paraId="5E8DA2D4" w14:textId="77777777">
      <w:pPr>
        <w:jc w:val="both"/>
      </w:pPr>
      <w:r>
        <w:t>E</w:t>
      </w:r>
      <w:r w:rsidRPr="00011BDB">
        <w:t>n desarrollo de sus objetivos, el proyecto contempla la financiación de iniciativas relacionadas con construcción, ampliación, reposición y modernización de redes de distribución eléctrica, así como la implementación de soluciones energéticas que permitan garantizar el acceso continuo y eficiente al servicio público de energía eléctrica en las zonas rurales interconectadas.</w:t>
      </w:r>
    </w:p>
    <w:p w:rsidR="00D233FF" w:rsidP="00D97D31" w:rsidRDefault="00D233FF" w14:paraId="7AAC84EA" w14:textId="77777777">
      <w:pPr>
        <w:jc w:val="both"/>
      </w:pPr>
      <w:r>
        <w:t>Los objetivos específicos formulados para este proyecto de inversión son:</w:t>
      </w:r>
    </w:p>
    <w:p w:rsidR="00D233FF" w:rsidP="00D97D31" w:rsidRDefault="00D233FF" w14:paraId="47740669" w14:textId="77777777">
      <w:pPr>
        <w:pStyle w:val="ListParagraph"/>
        <w:numPr>
          <w:ilvl w:val="0"/>
          <w:numId w:val="27"/>
        </w:numPr>
        <w:spacing w:line="276" w:lineRule="auto"/>
        <w:jc w:val="both"/>
      </w:pPr>
      <w:r>
        <w:t xml:space="preserve">Incrementar la cobertura del servicio de energía eléctrica en las Zonas Rurales Interconectadas </w:t>
      </w:r>
    </w:p>
    <w:p w:rsidR="00D233FF" w:rsidP="00D97D31" w:rsidRDefault="00D233FF" w14:paraId="4926B84B" w14:textId="77777777">
      <w:pPr>
        <w:pStyle w:val="ListParagraph"/>
        <w:numPr>
          <w:ilvl w:val="0"/>
          <w:numId w:val="27"/>
        </w:numPr>
        <w:spacing w:line="276" w:lineRule="auto"/>
        <w:jc w:val="both"/>
      </w:pPr>
      <w:r>
        <w:t>Mejorar la infraestructura eléctrica rural para garantizar una adecuada prestación del servicio.</w:t>
      </w:r>
    </w:p>
    <w:p w:rsidR="00D233FF" w:rsidP="00D97D31" w:rsidRDefault="00D233FF" w14:paraId="6D790064" w14:textId="77777777">
      <w:pPr>
        <w:pStyle w:val="ListParagraph"/>
        <w:numPr>
          <w:ilvl w:val="0"/>
          <w:numId w:val="27"/>
        </w:numPr>
        <w:spacing w:line="276" w:lineRule="auto"/>
        <w:jc w:val="both"/>
      </w:pPr>
      <w:r>
        <w:t>Reducir las brechas de acceso a energía eléctrica en comunidades rurales vulnerables.</w:t>
      </w:r>
    </w:p>
    <w:p w:rsidR="00D233FF" w:rsidP="00D97D31" w:rsidRDefault="00D233FF" w14:paraId="5610F2CA" w14:textId="77777777">
      <w:pPr>
        <w:pStyle w:val="ListParagraph"/>
        <w:numPr>
          <w:ilvl w:val="0"/>
          <w:numId w:val="27"/>
        </w:numPr>
        <w:spacing w:line="276" w:lineRule="auto"/>
        <w:jc w:val="both"/>
      </w:pPr>
      <w:r>
        <w:t>Fortalecer las condiciones de desarrollo social y económico de las poblaciones beneficiarias mediante el acceso al servicio público de energía eléctrica.</w:t>
      </w:r>
    </w:p>
    <w:p w:rsidR="00CF2897" w:rsidP="00D97D31" w:rsidRDefault="00CF2897" w14:paraId="61B1B6FF" w14:textId="77777777">
      <w:pPr>
        <w:pStyle w:val="ListParagraph"/>
        <w:spacing w:line="276" w:lineRule="auto"/>
        <w:jc w:val="both"/>
      </w:pPr>
    </w:p>
    <w:p w:rsidR="00CF2897" w:rsidP="00D97D31" w:rsidRDefault="00CF2897" w14:paraId="65F554FC" w14:textId="737BC468">
      <w:pPr>
        <w:pStyle w:val="ListParagraph"/>
        <w:spacing w:after="0" w:line="276" w:lineRule="auto"/>
        <w:jc w:val="center"/>
        <w:rPr>
          <w:rFonts w:ascii="Calibri" w:hAnsi="Calibri" w:cs="Calibri"/>
          <w:b/>
          <w:bCs/>
        </w:rPr>
      </w:pPr>
      <w:r w:rsidRPr="0037343F">
        <w:rPr>
          <w:rFonts w:ascii="Calibri" w:hAnsi="Calibri" w:cs="Calibri"/>
          <w:b/>
          <w:bCs/>
        </w:rPr>
        <w:t xml:space="preserve">Tabla </w:t>
      </w:r>
      <w:r w:rsidR="0041425D">
        <w:rPr>
          <w:rFonts w:ascii="Calibri" w:hAnsi="Calibri" w:cs="Calibri"/>
          <w:b/>
          <w:bCs/>
        </w:rPr>
        <w:t>7</w:t>
      </w:r>
      <w:r w:rsidRPr="0037343F">
        <w:rPr>
          <w:rFonts w:ascii="Calibri" w:hAnsi="Calibri" w:cs="Calibri"/>
          <w:b/>
          <w:bCs/>
        </w:rPr>
        <w:t xml:space="preserve">. </w:t>
      </w:r>
      <w:r>
        <w:rPr>
          <w:rFonts w:ascii="Calibri" w:hAnsi="Calibri" w:cs="Calibri"/>
          <w:b/>
          <w:bCs/>
        </w:rPr>
        <w:t>Cadena de valor</w:t>
      </w:r>
    </w:p>
    <w:tbl>
      <w:tblPr>
        <w:tblW w:w="11607" w:type="dxa"/>
        <w:tblInd w:w="-1003" w:type="dxa"/>
        <w:tblCellMar>
          <w:top w:w="15" w:type="dxa"/>
          <w:left w:w="70" w:type="dxa"/>
          <w:bottom w:w="15" w:type="dxa"/>
          <w:right w:w="70" w:type="dxa"/>
        </w:tblCellMar>
        <w:tblLook w:val="04A0" w:firstRow="1" w:lastRow="0" w:firstColumn="1" w:lastColumn="0" w:noHBand="0" w:noVBand="1"/>
      </w:tblPr>
      <w:tblGrid>
        <w:gridCol w:w="851"/>
        <w:gridCol w:w="1418"/>
        <w:gridCol w:w="1134"/>
        <w:gridCol w:w="980"/>
        <w:gridCol w:w="980"/>
        <w:gridCol w:w="1570"/>
        <w:gridCol w:w="960"/>
        <w:gridCol w:w="960"/>
        <w:gridCol w:w="1354"/>
        <w:gridCol w:w="1400"/>
      </w:tblGrid>
      <w:tr w:rsidRPr="002D42DC" w:rsidR="002D42DC" w:rsidTr="002D42DC" w14:paraId="565CC6D1" w14:textId="77777777">
        <w:trPr>
          <w:trHeight w:val="300"/>
        </w:trPr>
        <w:tc>
          <w:tcPr>
            <w:tcW w:w="851" w:type="dxa"/>
            <w:tcBorders>
              <w:top w:val="single" w:color="auto" w:sz="12" w:space="0"/>
              <w:left w:val="single" w:color="auto" w:sz="12" w:space="0"/>
              <w:bottom w:val="single" w:color="000000" w:sz="4" w:space="0"/>
              <w:right w:val="single" w:color="000000" w:sz="4" w:space="0"/>
            </w:tcBorders>
            <w:shd w:val="clear" w:color="000000" w:fill="D9E1F2"/>
            <w:noWrap/>
            <w:vAlign w:val="bottom"/>
            <w:hideMark/>
          </w:tcPr>
          <w:p w:rsidRPr="002D42DC" w:rsidR="002D42DC" w:rsidP="00D97D31" w:rsidRDefault="002D42DC" w14:paraId="25C5FB29" w14:textId="77777777">
            <w:pPr>
              <w:suppressAutoHyphens w:val="0"/>
              <w:spacing w:after="0"/>
              <w:rPr>
                <w:rFonts w:ascii="Calibri" w:hAnsi="Calibri" w:eastAsia="Times New Roman" w:cs="Calibri"/>
                <w:b/>
                <w:bCs/>
                <w:color w:val="000000"/>
                <w:sz w:val="16"/>
                <w:szCs w:val="16"/>
                <w:lang w:eastAsia="es-CO"/>
              </w:rPr>
            </w:pPr>
            <w:r w:rsidRPr="002D42DC">
              <w:rPr>
                <w:rFonts w:ascii="Calibri" w:hAnsi="Calibri" w:eastAsia="Times New Roman" w:cs="Calibri"/>
                <w:b/>
                <w:bCs/>
                <w:color w:val="000000"/>
                <w:sz w:val="16"/>
                <w:szCs w:val="16"/>
                <w:lang w:eastAsia="es-CO"/>
              </w:rPr>
              <w:t>Nombre</w:t>
            </w:r>
          </w:p>
        </w:tc>
        <w:tc>
          <w:tcPr>
            <w:tcW w:w="10756" w:type="dxa"/>
            <w:gridSpan w:val="9"/>
            <w:tcBorders>
              <w:top w:val="single" w:color="auto" w:sz="12" w:space="0"/>
              <w:left w:val="single" w:color="000000" w:sz="4" w:space="0"/>
              <w:bottom w:val="single" w:color="000000" w:sz="4" w:space="0"/>
              <w:right w:val="single" w:color="auto" w:sz="12" w:space="0"/>
            </w:tcBorders>
            <w:noWrap/>
            <w:vAlign w:val="bottom"/>
            <w:hideMark/>
          </w:tcPr>
          <w:p w:rsidRPr="002D42DC" w:rsidR="002D42DC" w:rsidP="00D97D31" w:rsidRDefault="002D42DC" w14:paraId="37411203" w14:textId="77777777">
            <w:pPr>
              <w:suppressAutoHyphens w:val="0"/>
              <w:spacing w:after="0"/>
              <w:jc w:val="center"/>
              <w:rPr>
                <w:rFonts w:ascii="Calibri" w:hAnsi="Calibri" w:eastAsia="Times New Roman" w:cs="Calibri"/>
                <w:color w:val="000000"/>
                <w:sz w:val="16"/>
                <w:szCs w:val="16"/>
                <w:lang w:eastAsia="es-CO"/>
              </w:rPr>
            </w:pPr>
            <w:r w:rsidRPr="002D42DC">
              <w:rPr>
                <w:rFonts w:ascii="Calibri" w:hAnsi="Calibri" w:eastAsia="Times New Roman" w:cs="Calibri"/>
                <w:color w:val="000000"/>
                <w:sz w:val="16"/>
                <w:szCs w:val="16"/>
                <w:lang w:eastAsia="es-CO"/>
              </w:rPr>
              <w:t xml:space="preserve">Mejoramiento del servicio de energía eléctrica en las zonas rurales del territorio nacional </w:t>
            </w:r>
          </w:p>
        </w:tc>
      </w:tr>
      <w:tr w:rsidRPr="002D42DC" w:rsidR="002D42DC" w:rsidTr="002D42DC" w14:paraId="16FA02A8" w14:textId="77777777">
        <w:trPr>
          <w:trHeight w:val="300"/>
        </w:trPr>
        <w:tc>
          <w:tcPr>
            <w:tcW w:w="851" w:type="dxa"/>
            <w:tcBorders>
              <w:top w:val="single" w:color="000000" w:sz="4" w:space="0"/>
              <w:left w:val="single" w:color="auto" w:sz="12" w:space="0"/>
              <w:bottom w:val="single" w:color="000000" w:sz="4" w:space="0"/>
              <w:right w:val="single" w:color="000000" w:sz="4" w:space="0"/>
            </w:tcBorders>
            <w:shd w:val="clear" w:color="000000" w:fill="D9E1F2"/>
            <w:noWrap/>
            <w:vAlign w:val="bottom"/>
            <w:hideMark/>
          </w:tcPr>
          <w:p w:rsidRPr="002D42DC" w:rsidR="002D42DC" w:rsidP="00D97D31" w:rsidRDefault="002D42DC" w14:paraId="404435F0" w14:textId="77777777">
            <w:pPr>
              <w:suppressAutoHyphens w:val="0"/>
              <w:spacing w:after="0"/>
              <w:rPr>
                <w:rFonts w:ascii="Calibri" w:hAnsi="Calibri" w:eastAsia="Times New Roman" w:cs="Calibri"/>
                <w:b/>
                <w:bCs/>
                <w:color w:val="000000"/>
                <w:sz w:val="16"/>
                <w:szCs w:val="16"/>
                <w:lang w:eastAsia="es-CO"/>
              </w:rPr>
            </w:pPr>
            <w:r w:rsidRPr="002D42DC">
              <w:rPr>
                <w:rFonts w:ascii="Calibri" w:hAnsi="Calibri" w:eastAsia="Times New Roman" w:cs="Calibri"/>
                <w:b/>
                <w:bCs/>
                <w:color w:val="000000"/>
                <w:sz w:val="16"/>
                <w:szCs w:val="16"/>
                <w:lang w:eastAsia="es-CO"/>
              </w:rPr>
              <w:t>Objetivo General</w:t>
            </w:r>
          </w:p>
        </w:tc>
        <w:tc>
          <w:tcPr>
            <w:tcW w:w="10756" w:type="dxa"/>
            <w:gridSpan w:val="9"/>
            <w:tcBorders>
              <w:top w:val="single" w:color="000000" w:sz="4" w:space="0"/>
              <w:left w:val="single" w:color="000000" w:sz="4" w:space="0"/>
              <w:bottom w:val="single" w:color="000000" w:sz="4" w:space="0"/>
              <w:right w:val="single" w:color="auto" w:sz="12" w:space="0"/>
            </w:tcBorders>
            <w:noWrap/>
            <w:vAlign w:val="bottom"/>
            <w:hideMark/>
          </w:tcPr>
          <w:p w:rsidRPr="002D42DC" w:rsidR="002D42DC" w:rsidP="00D97D31" w:rsidRDefault="002D42DC" w14:paraId="13D61540" w14:textId="77777777">
            <w:pPr>
              <w:suppressAutoHyphens w:val="0"/>
              <w:spacing w:after="0"/>
              <w:jc w:val="center"/>
              <w:rPr>
                <w:rFonts w:ascii="Calibri" w:hAnsi="Calibri" w:eastAsia="Times New Roman" w:cs="Calibri"/>
                <w:color w:val="000000"/>
                <w:sz w:val="16"/>
                <w:szCs w:val="16"/>
                <w:lang w:eastAsia="es-CO"/>
              </w:rPr>
            </w:pPr>
            <w:r w:rsidRPr="002D42DC">
              <w:rPr>
                <w:rFonts w:ascii="Calibri" w:hAnsi="Calibri" w:eastAsia="Times New Roman" w:cs="Calibri"/>
                <w:color w:val="000000"/>
                <w:sz w:val="16"/>
                <w:szCs w:val="16"/>
                <w:lang w:eastAsia="es-CO"/>
              </w:rPr>
              <w:t>Mejorar el servicio de energía eléctrica en las zonas rurales interconectadas del país.</w:t>
            </w:r>
          </w:p>
        </w:tc>
      </w:tr>
      <w:tr w:rsidRPr="002D42DC" w:rsidR="002D42DC" w:rsidTr="002D42DC" w14:paraId="03F61F58" w14:textId="77777777">
        <w:trPr>
          <w:trHeight w:val="300"/>
        </w:trPr>
        <w:tc>
          <w:tcPr>
            <w:tcW w:w="851" w:type="dxa"/>
            <w:vMerge w:val="restart"/>
            <w:tcBorders>
              <w:top w:val="single" w:color="000000" w:sz="4" w:space="0"/>
              <w:left w:val="single" w:color="auto" w:sz="12" w:space="0"/>
              <w:bottom w:val="single" w:color="000000" w:sz="4" w:space="0"/>
              <w:right w:val="single" w:color="000000" w:sz="4" w:space="0"/>
            </w:tcBorders>
            <w:shd w:val="clear" w:color="000000" w:fill="D9E1F2"/>
            <w:vAlign w:val="center"/>
            <w:hideMark/>
          </w:tcPr>
          <w:p w:rsidRPr="002D42DC" w:rsidR="002D42DC" w:rsidP="00D97D31" w:rsidRDefault="002D42DC" w14:paraId="1044A8AC" w14:textId="77777777">
            <w:pPr>
              <w:suppressAutoHyphens w:val="0"/>
              <w:spacing w:after="0"/>
              <w:jc w:val="center"/>
              <w:rPr>
                <w:rFonts w:ascii="Calibri" w:hAnsi="Calibri" w:eastAsia="Times New Roman" w:cs="Calibri"/>
                <w:b/>
                <w:bCs/>
                <w:color w:val="000000"/>
                <w:sz w:val="16"/>
                <w:szCs w:val="16"/>
                <w:lang w:eastAsia="es-CO"/>
              </w:rPr>
            </w:pPr>
            <w:r w:rsidRPr="002D42DC">
              <w:rPr>
                <w:rFonts w:ascii="Calibri" w:hAnsi="Calibri" w:eastAsia="Times New Roman" w:cs="Calibri"/>
                <w:b/>
                <w:bCs/>
                <w:color w:val="000000"/>
                <w:sz w:val="16"/>
                <w:szCs w:val="16"/>
                <w:lang w:eastAsia="es-CO"/>
              </w:rPr>
              <w:t xml:space="preserve">Objetivos </w:t>
            </w:r>
            <w:proofErr w:type="spellStart"/>
            <w:r w:rsidRPr="002D42DC">
              <w:rPr>
                <w:rFonts w:ascii="Calibri" w:hAnsi="Calibri" w:eastAsia="Times New Roman" w:cs="Calibri"/>
                <w:b/>
                <w:bCs/>
                <w:color w:val="000000"/>
                <w:sz w:val="16"/>
                <w:szCs w:val="16"/>
                <w:lang w:eastAsia="es-CO"/>
              </w:rPr>
              <w:t>Especificos</w:t>
            </w:r>
            <w:proofErr w:type="spellEnd"/>
            <w:r w:rsidRPr="002D42DC">
              <w:rPr>
                <w:rFonts w:ascii="Calibri" w:hAnsi="Calibri" w:eastAsia="Times New Roman" w:cs="Calibri"/>
                <w:b/>
                <w:bCs/>
                <w:color w:val="000000"/>
                <w:sz w:val="16"/>
                <w:szCs w:val="16"/>
                <w:lang w:eastAsia="es-CO"/>
              </w:rPr>
              <w:t xml:space="preserve"> </w:t>
            </w:r>
          </w:p>
        </w:tc>
        <w:tc>
          <w:tcPr>
            <w:tcW w:w="1418" w:type="dxa"/>
            <w:vMerge w:val="restart"/>
            <w:tcBorders>
              <w:top w:val="single" w:color="000000" w:sz="4" w:space="0"/>
              <w:left w:val="single" w:color="000000" w:sz="4" w:space="0"/>
              <w:bottom w:val="single" w:color="000000" w:sz="4" w:space="0"/>
              <w:right w:val="single" w:color="000000" w:sz="4" w:space="0"/>
            </w:tcBorders>
            <w:shd w:val="clear" w:color="000000" w:fill="D9E1F2"/>
            <w:vAlign w:val="center"/>
            <w:hideMark/>
          </w:tcPr>
          <w:p w:rsidRPr="002D42DC" w:rsidR="002D42DC" w:rsidP="00D97D31" w:rsidRDefault="002D42DC" w14:paraId="35078675" w14:textId="77777777">
            <w:pPr>
              <w:suppressAutoHyphens w:val="0"/>
              <w:spacing w:after="0"/>
              <w:jc w:val="center"/>
              <w:rPr>
                <w:rFonts w:ascii="Calibri" w:hAnsi="Calibri" w:eastAsia="Times New Roman" w:cs="Calibri"/>
                <w:b/>
                <w:bCs/>
                <w:color w:val="000000"/>
                <w:sz w:val="16"/>
                <w:szCs w:val="16"/>
                <w:lang w:eastAsia="es-CO"/>
              </w:rPr>
            </w:pPr>
            <w:r w:rsidRPr="002D42DC">
              <w:rPr>
                <w:rFonts w:ascii="Calibri" w:hAnsi="Calibri" w:eastAsia="Times New Roman" w:cs="Calibri"/>
                <w:b/>
                <w:bCs/>
                <w:color w:val="000000"/>
                <w:sz w:val="16"/>
                <w:szCs w:val="16"/>
                <w:lang w:eastAsia="es-CO"/>
              </w:rPr>
              <w:t>Producto</w:t>
            </w:r>
          </w:p>
        </w:tc>
        <w:tc>
          <w:tcPr>
            <w:tcW w:w="1134" w:type="dxa"/>
            <w:vMerge w:val="restart"/>
            <w:tcBorders>
              <w:top w:val="single" w:color="000000" w:sz="4" w:space="0"/>
              <w:left w:val="single" w:color="000000" w:sz="4" w:space="0"/>
              <w:bottom w:val="single" w:color="000000" w:sz="4" w:space="0"/>
              <w:right w:val="single" w:color="000000" w:sz="4" w:space="0"/>
            </w:tcBorders>
            <w:shd w:val="clear" w:color="000000" w:fill="D9E1F2"/>
            <w:vAlign w:val="center"/>
            <w:hideMark/>
          </w:tcPr>
          <w:p w:rsidRPr="002D42DC" w:rsidR="002D42DC" w:rsidP="00D97D31" w:rsidRDefault="002D42DC" w14:paraId="7CBE0447" w14:textId="77777777">
            <w:pPr>
              <w:suppressAutoHyphens w:val="0"/>
              <w:spacing w:after="0"/>
              <w:jc w:val="center"/>
              <w:rPr>
                <w:rFonts w:ascii="Calibri" w:hAnsi="Calibri" w:eastAsia="Times New Roman" w:cs="Calibri"/>
                <w:b/>
                <w:bCs/>
                <w:color w:val="000000"/>
                <w:sz w:val="16"/>
                <w:szCs w:val="16"/>
                <w:lang w:eastAsia="es-CO"/>
              </w:rPr>
            </w:pPr>
            <w:r w:rsidRPr="002D42DC">
              <w:rPr>
                <w:rFonts w:ascii="Calibri" w:hAnsi="Calibri" w:eastAsia="Times New Roman" w:cs="Calibri"/>
                <w:b/>
                <w:bCs/>
                <w:color w:val="000000"/>
                <w:sz w:val="16"/>
                <w:szCs w:val="16"/>
                <w:lang w:eastAsia="es-CO"/>
              </w:rPr>
              <w:t>Unidad de Medida</w:t>
            </w:r>
          </w:p>
        </w:tc>
        <w:tc>
          <w:tcPr>
            <w:tcW w:w="1960" w:type="dxa"/>
            <w:gridSpan w:val="2"/>
            <w:tcBorders>
              <w:top w:val="single" w:color="000000" w:sz="4" w:space="0"/>
              <w:left w:val="single" w:color="000000" w:sz="4" w:space="0"/>
              <w:bottom w:val="single" w:color="000000" w:sz="4" w:space="0"/>
              <w:right w:val="nil"/>
            </w:tcBorders>
            <w:shd w:val="clear" w:color="000000" w:fill="D9E1F2"/>
            <w:vAlign w:val="center"/>
            <w:hideMark/>
          </w:tcPr>
          <w:p w:rsidRPr="002D42DC" w:rsidR="002D42DC" w:rsidP="00D97D31" w:rsidRDefault="002D42DC" w14:paraId="20B70677" w14:textId="1C2DD42A">
            <w:pPr>
              <w:suppressAutoHyphens w:val="0"/>
              <w:spacing w:after="0"/>
              <w:jc w:val="center"/>
              <w:rPr>
                <w:rFonts w:ascii="Calibri" w:hAnsi="Calibri" w:eastAsia="Times New Roman" w:cs="Calibri"/>
                <w:b/>
                <w:bCs/>
                <w:color w:val="000000"/>
                <w:sz w:val="16"/>
                <w:szCs w:val="16"/>
                <w:lang w:eastAsia="es-CO"/>
              </w:rPr>
            </w:pPr>
            <w:r w:rsidRPr="002D42DC">
              <w:rPr>
                <w:rFonts w:ascii="Calibri" w:hAnsi="Calibri" w:eastAsia="Times New Roman" w:cs="Calibri"/>
                <w:b/>
                <w:bCs/>
                <w:color w:val="000000"/>
                <w:sz w:val="16"/>
                <w:szCs w:val="16"/>
                <w:lang w:eastAsia="es-CO"/>
              </w:rPr>
              <w:t>Meta</w:t>
            </w:r>
          </w:p>
        </w:tc>
        <w:tc>
          <w:tcPr>
            <w:tcW w:w="1570" w:type="dxa"/>
            <w:vMerge w:val="restart"/>
            <w:tcBorders>
              <w:top w:val="single" w:color="000000" w:sz="4" w:space="0"/>
              <w:left w:val="single" w:color="000000" w:sz="4" w:space="0"/>
              <w:bottom w:val="single" w:color="000000" w:sz="4" w:space="0"/>
              <w:right w:val="single" w:color="000000" w:sz="4" w:space="0"/>
            </w:tcBorders>
            <w:shd w:val="clear" w:color="000000" w:fill="D9E1F2"/>
            <w:vAlign w:val="center"/>
            <w:hideMark/>
          </w:tcPr>
          <w:p w:rsidRPr="002D42DC" w:rsidR="002D42DC" w:rsidP="00D97D31" w:rsidRDefault="002D42DC" w14:paraId="287FC1A6" w14:textId="77777777">
            <w:pPr>
              <w:suppressAutoHyphens w:val="0"/>
              <w:spacing w:after="0"/>
              <w:jc w:val="center"/>
              <w:rPr>
                <w:rFonts w:ascii="Calibri" w:hAnsi="Calibri" w:eastAsia="Times New Roman" w:cs="Calibri"/>
                <w:b/>
                <w:bCs/>
                <w:color w:val="000000"/>
                <w:sz w:val="16"/>
                <w:szCs w:val="16"/>
                <w:lang w:eastAsia="es-CO"/>
              </w:rPr>
            </w:pPr>
            <w:r w:rsidRPr="002D42DC">
              <w:rPr>
                <w:rFonts w:ascii="Calibri" w:hAnsi="Calibri" w:eastAsia="Times New Roman" w:cs="Calibri"/>
                <w:b/>
                <w:bCs/>
                <w:color w:val="000000"/>
                <w:sz w:val="16"/>
                <w:szCs w:val="16"/>
                <w:lang w:eastAsia="es-CO"/>
              </w:rPr>
              <w:t>Actividades</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000000" w:fill="D9E1F2"/>
            <w:vAlign w:val="center"/>
            <w:hideMark/>
          </w:tcPr>
          <w:p w:rsidRPr="002D42DC" w:rsidR="002D42DC" w:rsidP="00D97D31" w:rsidRDefault="002D42DC" w14:paraId="4834BC8B" w14:textId="77777777">
            <w:pPr>
              <w:suppressAutoHyphens w:val="0"/>
              <w:spacing w:after="0"/>
              <w:jc w:val="center"/>
              <w:rPr>
                <w:rFonts w:ascii="Calibri" w:hAnsi="Calibri" w:eastAsia="Times New Roman" w:cs="Calibri"/>
                <w:b/>
                <w:bCs/>
                <w:color w:val="000000"/>
                <w:sz w:val="16"/>
                <w:szCs w:val="16"/>
                <w:lang w:eastAsia="es-CO"/>
              </w:rPr>
            </w:pPr>
            <w:r w:rsidRPr="002D42DC">
              <w:rPr>
                <w:rFonts w:ascii="Calibri" w:hAnsi="Calibri" w:eastAsia="Times New Roman" w:cs="Calibri"/>
                <w:b/>
                <w:bCs/>
                <w:color w:val="000000"/>
                <w:sz w:val="16"/>
                <w:szCs w:val="16"/>
                <w:lang w:eastAsia="es-CO"/>
              </w:rPr>
              <w:t xml:space="preserve">Etapa </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000000" w:fill="D9E1F2"/>
            <w:vAlign w:val="center"/>
            <w:hideMark/>
          </w:tcPr>
          <w:p w:rsidRPr="002D42DC" w:rsidR="002D42DC" w:rsidP="00D97D31" w:rsidRDefault="002D42DC" w14:paraId="2A320607" w14:textId="77777777">
            <w:pPr>
              <w:suppressAutoHyphens w:val="0"/>
              <w:spacing w:after="0"/>
              <w:jc w:val="center"/>
              <w:rPr>
                <w:rFonts w:ascii="Calibri" w:hAnsi="Calibri" w:eastAsia="Times New Roman" w:cs="Calibri"/>
                <w:b/>
                <w:bCs/>
                <w:color w:val="000000"/>
                <w:sz w:val="16"/>
                <w:szCs w:val="16"/>
                <w:lang w:eastAsia="es-CO"/>
              </w:rPr>
            </w:pPr>
            <w:r w:rsidRPr="002D42DC">
              <w:rPr>
                <w:rFonts w:ascii="Calibri" w:hAnsi="Calibri" w:eastAsia="Times New Roman" w:cs="Calibri"/>
                <w:b/>
                <w:bCs/>
                <w:color w:val="000000"/>
                <w:sz w:val="16"/>
                <w:szCs w:val="16"/>
                <w:lang w:eastAsia="es-CO"/>
              </w:rPr>
              <w:t>Ruta Crítica</w:t>
            </w:r>
          </w:p>
        </w:tc>
        <w:tc>
          <w:tcPr>
            <w:tcW w:w="2754" w:type="dxa"/>
            <w:gridSpan w:val="2"/>
            <w:tcBorders>
              <w:top w:val="single" w:color="000000" w:sz="4" w:space="0"/>
              <w:left w:val="single" w:color="000000" w:sz="4" w:space="0"/>
              <w:bottom w:val="single" w:color="000000" w:sz="4" w:space="0"/>
              <w:right w:val="single" w:color="auto" w:sz="12" w:space="0"/>
            </w:tcBorders>
            <w:shd w:val="clear" w:color="000000" w:fill="D9E1F2"/>
            <w:vAlign w:val="center"/>
            <w:hideMark/>
          </w:tcPr>
          <w:p w:rsidRPr="002D42DC" w:rsidR="002D42DC" w:rsidP="00D97D31" w:rsidRDefault="002D42DC" w14:paraId="5C1DF2BD" w14:textId="77777777">
            <w:pPr>
              <w:suppressAutoHyphens w:val="0"/>
              <w:spacing w:after="0"/>
              <w:jc w:val="center"/>
              <w:rPr>
                <w:rFonts w:ascii="Calibri" w:hAnsi="Calibri" w:eastAsia="Times New Roman" w:cs="Calibri"/>
                <w:b/>
                <w:bCs/>
                <w:color w:val="000000"/>
                <w:sz w:val="16"/>
                <w:szCs w:val="16"/>
                <w:lang w:eastAsia="es-CO"/>
              </w:rPr>
            </w:pPr>
            <w:r w:rsidRPr="002D42DC">
              <w:rPr>
                <w:rFonts w:ascii="Calibri" w:hAnsi="Calibri" w:eastAsia="Times New Roman" w:cs="Calibri"/>
                <w:b/>
                <w:bCs/>
                <w:color w:val="000000"/>
                <w:sz w:val="16"/>
                <w:szCs w:val="16"/>
                <w:lang w:eastAsia="es-CO"/>
              </w:rPr>
              <w:t>Afectación presupuestal</w:t>
            </w:r>
          </w:p>
        </w:tc>
      </w:tr>
      <w:tr w:rsidRPr="002D42DC" w:rsidR="002D42DC" w:rsidTr="00D877D0" w14:paraId="5FA420C0" w14:textId="77777777">
        <w:trPr>
          <w:trHeight w:val="615"/>
        </w:trPr>
        <w:tc>
          <w:tcPr>
            <w:tcW w:w="851" w:type="dxa"/>
            <w:vMerge/>
            <w:tcBorders>
              <w:top w:val="single" w:color="000000" w:sz="4" w:space="0"/>
              <w:left w:val="single" w:color="auto" w:sz="12" w:space="0"/>
              <w:bottom w:val="single" w:color="000000" w:sz="4" w:space="0"/>
              <w:right w:val="single" w:color="000000" w:sz="4" w:space="0"/>
            </w:tcBorders>
            <w:vAlign w:val="center"/>
            <w:hideMark/>
          </w:tcPr>
          <w:p w:rsidRPr="002D42DC" w:rsidR="002D42DC" w:rsidP="00D97D31" w:rsidRDefault="002D42DC" w14:paraId="141D2EEA" w14:textId="77777777">
            <w:pPr>
              <w:suppressAutoHyphens w:val="0"/>
              <w:spacing w:after="0"/>
              <w:rPr>
                <w:rFonts w:ascii="Calibri" w:hAnsi="Calibri" w:eastAsia="Times New Roman" w:cs="Calibri"/>
                <w:b/>
                <w:bCs/>
                <w:color w:val="000000"/>
                <w:sz w:val="16"/>
                <w:szCs w:val="16"/>
                <w:lang w:eastAsia="es-CO"/>
              </w:rPr>
            </w:pPr>
          </w:p>
        </w:tc>
        <w:tc>
          <w:tcPr>
            <w:tcW w:w="1418" w:type="dxa"/>
            <w:vMerge/>
            <w:tcBorders>
              <w:top w:val="single" w:color="000000" w:sz="4" w:space="0"/>
              <w:left w:val="single" w:color="000000" w:sz="4" w:space="0"/>
              <w:bottom w:val="single" w:color="000000" w:sz="4" w:space="0"/>
              <w:right w:val="single" w:color="000000" w:sz="4" w:space="0"/>
            </w:tcBorders>
            <w:vAlign w:val="center"/>
            <w:hideMark/>
          </w:tcPr>
          <w:p w:rsidRPr="002D42DC" w:rsidR="002D42DC" w:rsidP="00D97D31" w:rsidRDefault="002D42DC" w14:paraId="3E9D8679" w14:textId="77777777">
            <w:pPr>
              <w:suppressAutoHyphens w:val="0"/>
              <w:spacing w:after="0"/>
              <w:rPr>
                <w:rFonts w:ascii="Calibri" w:hAnsi="Calibri" w:eastAsia="Times New Roman" w:cs="Calibri"/>
                <w:b/>
                <w:bCs/>
                <w:color w:val="000000"/>
                <w:sz w:val="16"/>
                <w:szCs w:val="16"/>
                <w:lang w:eastAsia="es-CO"/>
              </w:rPr>
            </w:pPr>
          </w:p>
        </w:tc>
        <w:tc>
          <w:tcPr>
            <w:tcW w:w="1134" w:type="dxa"/>
            <w:vMerge/>
            <w:tcBorders>
              <w:top w:val="single" w:color="000000" w:sz="4" w:space="0"/>
              <w:left w:val="single" w:color="000000" w:sz="4" w:space="0"/>
              <w:bottom w:val="single" w:color="000000" w:sz="4" w:space="0"/>
              <w:right w:val="single" w:color="000000" w:sz="4" w:space="0"/>
            </w:tcBorders>
            <w:vAlign w:val="center"/>
            <w:hideMark/>
          </w:tcPr>
          <w:p w:rsidRPr="002D42DC" w:rsidR="002D42DC" w:rsidP="00D97D31" w:rsidRDefault="002D42DC" w14:paraId="3C3CA407" w14:textId="77777777">
            <w:pPr>
              <w:suppressAutoHyphens w:val="0"/>
              <w:spacing w:after="0"/>
              <w:rPr>
                <w:rFonts w:ascii="Calibri" w:hAnsi="Calibri" w:eastAsia="Times New Roman" w:cs="Calibri"/>
                <w:b/>
                <w:bCs/>
                <w:color w:val="000000"/>
                <w:sz w:val="16"/>
                <w:szCs w:val="16"/>
                <w:lang w:eastAsia="es-CO"/>
              </w:rPr>
            </w:pPr>
          </w:p>
        </w:tc>
        <w:tc>
          <w:tcPr>
            <w:tcW w:w="980" w:type="dxa"/>
            <w:tcBorders>
              <w:top w:val="single" w:color="000000" w:sz="4" w:space="0"/>
              <w:left w:val="single" w:color="000000" w:sz="4" w:space="0"/>
              <w:bottom w:val="single" w:color="000000" w:sz="4" w:space="0"/>
              <w:right w:val="single" w:color="000000" w:sz="4" w:space="0"/>
            </w:tcBorders>
            <w:shd w:val="clear" w:color="000000" w:fill="D9E1F2"/>
            <w:vAlign w:val="center"/>
            <w:hideMark/>
          </w:tcPr>
          <w:p w:rsidRPr="002D42DC" w:rsidR="002D42DC" w:rsidP="00D97D31" w:rsidRDefault="002D42DC" w14:paraId="7D6D72BC" w14:textId="77777777">
            <w:pPr>
              <w:suppressAutoHyphens w:val="0"/>
              <w:spacing w:after="0"/>
              <w:jc w:val="center"/>
              <w:rPr>
                <w:rFonts w:ascii="Calibri" w:hAnsi="Calibri" w:eastAsia="Times New Roman" w:cs="Calibri"/>
                <w:b/>
                <w:bCs/>
                <w:color w:val="000000"/>
                <w:sz w:val="16"/>
                <w:szCs w:val="16"/>
                <w:lang w:eastAsia="es-CO"/>
              </w:rPr>
            </w:pPr>
            <w:r w:rsidRPr="002D42DC">
              <w:rPr>
                <w:rFonts w:ascii="Calibri" w:hAnsi="Calibri" w:eastAsia="Times New Roman" w:cs="Calibri"/>
                <w:b/>
                <w:bCs/>
                <w:color w:val="000000"/>
                <w:sz w:val="16"/>
                <w:szCs w:val="16"/>
                <w:lang w:eastAsia="es-CO"/>
              </w:rPr>
              <w:t>En firme</w:t>
            </w:r>
          </w:p>
        </w:tc>
        <w:tc>
          <w:tcPr>
            <w:tcW w:w="980" w:type="dxa"/>
            <w:tcBorders>
              <w:top w:val="single" w:color="000000" w:sz="4" w:space="0"/>
              <w:left w:val="single" w:color="000000" w:sz="4" w:space="0"/>
              <w:bottom w:val="single" w:color="000000" w:sz="4" w:space="0"/>
              <w:right w:val="single" w:color="000000" w:sz="4" w:space="0"/>
            </w:tcBorders>
            <w:shd w:val="clear" w:color="000000" w:fill="D9E1F2"/>
            <w:vAlign w:val="center"/>
            <w:hideMark/>
          </w:tcPr>
          <w:p w:rsidRPr="002D42DC" w:rsidR="002D42DC" w:rsidP="00D97D31" w:rsidRDefault="002D42DC" w14:paraId="6AD7A076" w14:textId="77777777">
            <w:pPr>
              <w:suppressAutoHyphens w:val="0"/>
              <w:spacing w:after="0"/>
              <w:jc w:val="center"/>
              <w:rPr>
                <w:rFonts w:ascii="Calibri" w:hAnsi="Calibri" w:eastAsia="Times New Roman" w:cs="Calibri"/>
                <w:b/>
                <w:bCs/>
                <w:color w:val="000000"/>
                <w:sz w:val="16"/>
                <w:szCs w:val="16"/>
                <w:lang w:eastAsia="es-CO"/>
              </w:rPr>
            </w:pPr>
            <w:r w:rsidRPr="002D42DC">
              <w:rPr>
                <w:rFonts w:ascii="Calibri" w:hAnsi="Calibri" w:eastAsia="Times New Roman" w:cs="Calibri"/>
                <w:b/>
                <w:bCs/>
                <w:color w:val="000000"/>
                <w:sz w:val="16"/>
                <w:szCs w:val="16"/>
                <w:lang w:eastAsia="es-CO"/>
              </w:rPr>
              <w:t>Ajustada</w:t>
            </w:r>
          </w:p>
        </w:tc>
        <w:tc>
          <w:tcPr>
            <w:tcW w:w="1570" w:type="dxa"/>
            <w:vMerge/>
            <w:tcBorders>
              <w:top w:val="single" w:color="000000" w:sz="4" w:space="0"/>
              <w:left w:val="single" w:color="000000" w:sz="4" w:space="0"/>
              <w:bottom w:val="single" w:color="000000" w:sz="4" w:space="0"/>
              <w:right w:val="single" w:color="000000" w:sz="4" w:space="0"/>
            </w:tcBorders>
            <w:vAlign w:val="center"/>
            <w:hideMark/>
          </w:tcPr>
          <w:p w:rsidRPr="002D42DC" w:rsidR="002D42DC" w:rsidP="00D97D31" w:rsidRDefault="002D42DC" w14:paraId="6D33CCF8" w14:textId="77777777">
            <w:pPr>
              <w:suppressAutoHyphens w:val="0"/>
              <w:spacing w:after="0"/>
              <w:rPr>
                <w:rFonts w:ascii="Calibri" w:hAnsi="Calibri" w:eastAsia="Times New Roman" w:cs="Calibri"/>
                <w:b/>
                <w:bCs/>
                <w:color w:val="000000"/>
                <w:sz w:val="16"/>
                <w:szCs w:val="16"/>
                <w:lang w:eastAsia="es-CO"/>
              </w:rPr>
            </w:pPr>
          </w:p>
        </w:tc>
        <w:tc>
          <w:tcPr>
            <w:tcW w:w="960" w:type="dxa"/>
            <w:vMerge/>
            <w:tcBorders>
              <w:top w:val="single" w:color="000000" w:sz="4" w:space="0"/>
              <w:left w:val="single" w:color="000000" w:sz="4" w:space="0"/>
              <w:bottom w:val="single" w:color="000000" w:sz="4" w:space="0"/>
              <w:right w:val="single" w:color="000000" w:sz="4" w:space="0"/>
            </w:tcBorders>
            <w:vAlign w:val="center"/>
            <w:hideMark/>
          </w:tcPr>
          <w:p w:rsidRPr="002D42DC" w:rsidR="002D42DC" w:rsidP="00D97D31" w:rsidRDefault="002D42DC" w14:paraId="774B3AE7" w14:textId="77777777">
            <w:pPr>
              <w:suppressAutoHyphens w:val="0"/>
              <w:spacing w:after="0"/>
              <w:rPr>
                <w:rFonts w:ascii="Calibri" w:hAnsi="Calibri" w:eastAsia="Times New Roman" w:cs="Calibri"/>
                <w:b/>
                <w:bCs/>
                <w:color w:val="000000"/>
                <w:sz w:val="16"/>
                <w:szCs w:val="16"/>
                <w:lang w:eastAsia="es-CO"/>
              </w:rPr>
            </w:pPr>
          </w:p>
        </w:tc>
        <w:tc>
          <w:tcPr>
            <w:tcW w:w="960" w:type="dxa"/>
            <w:vMerge/>
            <w:tcBorders>
              <w:top w:val="single" w:color="000000" w:sz="4" w:space="0"/>
              <w:left w:val="single" w:color="000000" w:sz="4" w:space="0"/>
              <w:bottom w:val="single" w:color="000000" w:sz="4" w:space="0"/>
              <w:right w:val="single" w:color="000000" w:sz="4" w:space="0"/>
            </w:tcBorders>
            <w:vAlign w:val="center"/>
            <w:hideMark/>
          </w:tcPr>
          <w:p w:rsidRPr="002D42DC" w:rsidR="002D42DC" w:rsidP="00D97D31" w:rsidRDefault="002D42DC" w14:paraId="1C1FB704" w14:textId="77777777">
            <w:pPr>
              <w:suppressAutoHyphens w:val="0"/>
              <w:spacing w:after="0"/>
              <w:rPr>
                <w:rFonts w:ascii="Calibri" w:hAnsi="Calibri" w:eastAsia="Times New Roman" w:cs="Calibri"/>
                <w:b/>
                <w:bCs/>
                <w:color w:val="000000"/>
                <w:sz w:val="16"/>
                <w:szCs w:val="16"/>
                <w:lang w:eastAsia="es-CO"/>
              </w:rPr>
            </w:pPr>
          </w:p>
        </w:tc>
        <w:tc>
          <w:tcPr>
            <w:tcW w:w="1354" w:type="dxa"/>
            <w:tcBorders>
              <w:top w:val="single" w:color="000000" w:sz="4" w:space="0"/>
              <w:left w:val="single" w:color="000000" w:sz="4" w:space="0"/>
              <w:bottom w:val="single" w:color="000000" w:sz="4" w:space="0"/>
              <w:right w:val="single" w:color="000000" w:sz="4" w:space="0"/>
            </w:tcBorders>
            <w:shd w:val="clear" w:color="000000" w:fill="D9E1F2"/>
            <w:vAlign w:val="center"/>
            <w:hideMark/>
          </w:tcPr>
          <w:p w:rsidRPr="002D42DC" w:rsidR="002D42DC" w:rsidP="00D97D31" w:rsidRDefault="002D42DC" w14:paraId="07BCDB1D" w14:textId="77777777">
            <w:pPr>
              <w:suppressAutoHyphens w:val="0"/>
              <w:spacing w:after="0"/>
              <w:jc w:val="center"/>
              <w:rPr>
                <w:rFonts w:ascii="Calibri" w:hAnsi="Calibri" w:eastAsia="Times New Roman" w:cs="Calibri"/>
                <w:b/>
                <w:bCs/>
                <w:color w:val="000000"/>
                <w:sz w:val="16"/>
                <w:szCs w:val="16"/>
                <w:lang w:eastAsia="es-CO"/>
              </w:rPr>
            </w:pPr>
            <w:proofErr w:type="spellStart"/>
            <w:r w:rsidRPr="002D42DC">
              <w:rPr>
                <w:rFonts w:ascii="Calibri" w:hAnsi="Calibri" w:eastAsia="Times New Roman" w:cs="Calibri"/>
                <w:b/>
                <w:bCs/>
                <w:color w:val="000000"/>
                <w:sz w:val="16"/>
                <w:szCs w:val="16"/>
                <w:lang w:eastAsia="es-CO"/>
              </w:rPr>
              <w:t>Apropiacion</w:t>
            </w:r>
            <w:proofErr w:type="spellEnd"/>
            <w:r w:rsidRPr="002D42DC">
              <w:rPr>
                <w:rFonts w:ascii="Calibri" w:hAnsi="Calibri" w:eastAsia="Times New Roman" w:cs="Calibri"/>
                <w:b/>
                <w:bCs/>
                <w:color w:val="000000"/>
                <w:sz w:val="16"/>
                <w:szCs w:val="16"/>
                <w:lang w:eastAsia="es-CO"/>
              </w:rPr>
              <w:t xml:space="preserve"> Vigente </w:t>
            </w:r>
          </w:p>
        </w:tc>
        <w:tc>
          <w:tcPr>
            <w:tcW w:w="1400" w:type="dxa"/>
            <w:tcBorders>
              <w:top w:val="single" w:color="000000" w:sz="4" w:space="0"/>
              <w:left w:val="single" w:color="000000" w:sz="4" w:space="0"/>
              <w:bottom w:val="single" w:color="000000" w:sz="4" w:space="0"/>
              <w:right w:val="single" w:color="auto" w:sz="12" w:space="0"/>
            </w:tcBorders>
            <w:shd w:val="clear" w:color="000000" w:fill="D9E1F2"/>
            <w:vAlign w:val="center"/>
            <w:hideMark/>
          </w:tcPr>
          <w:p w:rsidRPr="002D42DC" w:rsidR="002D42DC" w:rsidP="00D97D31" w:rsidRDefault="002D42DC" w14:paraId="732EA606" w14:textId="77777777">
            <w:pPr>
              <w:suppressAutoHyphens w:val="0"/>
              <w:spacing w:after="0"/>
              <w:jc w:val="center"/>
              <w:rPr>
                <w:rFonts w:ascii="Calibri" w:hAnsi="Calibri" w:eastAsia="Times New Roman" w:cs="Calibri"/>
                <w:b/>
                <w:bCs/>
                <w:color w:val="000000"/>
                <w:sz w:val="16"/>
                <w:szCs w:val="16"/>
                <w:lang w:eastAsia="es-CO"/>
              </w:rPr>
            </w:pPr>
            <w:r w:rsidRPr="002D42DC">
              <w:rPr>
                <w:rFonts w:ascii="Calibri" w:hAnsi="Calibri" w:eastAsia="Times New Roman" w:cs="Calibri"/>
                <w:b/>
                <w:bCs/>
                <w:color w:val="000000"/>
                <w:sz w:val="16"/>
                <w:szCs w:val="16"/>
                <w:lang w:eastAsia="es-CO"/>
              </w:rPr>
              <w:t>Recurso disponible 2026</w:t>
            </w:r>
          </w:p>
        </w:tc>
      </w:tr>
      <w:tr w:rsidRPr="002D42DC" w:rsidR="002D42DC" w:rsidTr="00D877D0" w14:paraId="1BD42E0C" w14:textId="77777777">
        <w:trPr>
          <w:trHeight w:val="2130"/>
        </w:trPr>
        <w:tc>
          <w:tcPr>
            <w:tcW w:w="851" w:type="dxa"/>
            <w:vMerge w:val="restart"/>
            <w:tcBorders>
              <w:top w:val="single" w:color="000000" w:sz="4" w:space="0"/>
              <w:left w:val="single" w:color="auto" w:sz="12" w:space="0"/>
              <w:bottom w:val="nil"/>
              <w:right w:val="single" w:color="000000" w:sz="4" w:space="0"/>
            </w:tcBorders>
            <w:vAlign w:val="center"/>
            <w:hideMark/>
          </w:tcPr>
          <w:p w:rsidRPr="002D42DC" w:rsidR="002D42DC" w:rsidP="00D97D31" w:rsidRDefault="002D42DC" w14:paraId="3689473C" w14:textId="77777777">
            <w:pPr>
              <w:suppressAutoHyphens w:val="0"/>
              <w:spacing w:after="0"/>
              <w:rPr>
                <w:rFonts w:ascii="Calibri" w:hAnsi="Calibri" w:eastAsia="Times New Roman" w:cs="Calibri"/>
                <w:color w:val="000000"/>
                <w:sz w:val="16"/>
                <w:szCs w:val="16"/>
                <w:lang w:eastAsia="es-CO"/>
              </w:rPr>
            </w:pPr>
            <w:r w:rsidRPr="002D42DC">
              <w:rPr>
                <w:rFonts w:ascii="Calibri" w:hAnsi="Calibri" w:eastAsia="Times New Roman" w:cs="Calibri"/>
                <w:color w:val="000000"/>
                <w:sz w:val="16"/>
                <w:szCs w:val="16"/>
                <w:lang w:eastAsia="es-CO"/>
              </w:rPr>
              <w:t>Incrementar la capacidad del sistema de distribución eléctrica en las zonas rurales.</w:t>
            </w:r>
          </w:p>
        </w:tc>
        <w:tc>
          <w:tcPr>
            <w:tcW w:w="1418" w:type="dxa"/>
            <w:vMerge w:val="restart"/>
            <w:tcBorders>
              <w:top w:val="single" w:color="000000" w:sz="4" w:space="0"/>
              <w:left w:val="single" w:color="000000" w:sz="4" w:space="0"/>
              <w:bottom w:val="nil"/>
              <w:right w:val="single" w:color="000000" w:sz="4" w:space="0"/>
            </w:tcBorders>
            <w:vAlign w:val="center"/>
            <w:hideMark/>
          </w:tcPr>
          <w:p w:rsidRPr="002D42DC" w:rsidR="002D42DC" w:rsidP="00D97D31" w:rsidRDefault="002D42DC" w14:paraId="4B7E8856" w14:textId="77777777">
            <w:pPr>
              <w:suppressAutoHyphens w:val="0"/>
              <w:spacing w:after="0"/>
              <w:rPr>
                <w:rFonts w:ascii="Calibri" w:hAnsi="Calibri" w:eastAsia="Times New Roman" w:cs="Calibri"/>
                <w:color w:val="000000"/>
                <w:sz w:val="16"/>
                <w:szCs w:val="16"/>
                <w:lang w:eastAsia="es-CO"/>
              </w:rPr>
            </w:pPr>
            <w:r w:rsidRPr="002D42DC">
              <w:rPr>
                <w:rFonts w:ascii="Calibri" w:hAnsi="Calibri" w:eastAsia="Times New Roman" w:cs="Calibri"/>
                <w:color w:val="000000"/>
                <w:sz w:val="16"/>
                <w:szCs w:val="16"/>
                <w:lang w:eastAsia="es-CO"/>
              </w:rPr>
              <w:t>1.1 Servicio de apoyo financiero para la financiación de infraestructura de</w:t>
            </w:r>
            <w:r w:rsidRPr="002D42DC">
              <w:rPr>
                <w:rFonts w:ascii="Calibri" w:hAnsi="Calibri" w:eastAsia="Times New Roman" w:cs="Calibri"/>
                <w:color w:val="000000"/>
                <w:sz w:val="16"/>
                <w:szCs w:val="16"/>
                <w:lang w:eastAsia="es-CO"/>
              </w:rPr>
              <w:br/>
            </w:r>
            <w:r w:rsidRPr="002D42DC">
              <w:rPr>
                <w:rFonts w:ascii="Calibri" w:hAnsi="Calibri" w:eastAsia="Times New Roman" w:cs="Calibri"/>
                <w:color w:val="000000"/>
                <w:sz w:val="16"/>
                <w:szCs w:val="16"/>
                <w:lang w:eastAsia="es-CO"/>
              </w:rPr>
              <w:t>energía eléctrica en las zonas rurales interconectadas</w:t>
            </w:r>
          </w:p>
        </w:tc>
        <w:tc>
          <w:tcPr>
            <w:tcW w:w="1134" w:type="dxa"/>
            <w:vMerge w:val="restart"/>
            <w:tcBorders>
              <w:top w:val="single" w:color="000000" w:sz="4" w:space="0"/>
              <w:left w:val="single" w:color="000000" w:sz="4" w:space="0"/>
              <w:bottom w:val="nil"/>
              <w:right w:val="single" w:color="000000" w:sz="4" w:space="0"/>
            </w:tcBorders>
            <w:vAlign w:val="center"/>
            <w:hideMark/>
          </w:tcPr>
          <w:p w:rsidRPr="002D42DC" w:rsidR="002D42DC" w:rsidP="00D97D31" w:rsidRDefault="002D42DC" w14:paraId="50412648" w14:textId="77777777">
            <w:pPr>
              <w:suppressAutoHyphens w:val="0"/>
              <w:spacing w:after="0"/>
              <w:jc w:val="center"/>
              <w:rPr>
                <w:rFonts w:ascii="Calibri" w:hAnsi="Calibri" w:eastAsia="Times New Roman" w:cs="Calibri"/>
                <w:color w:val="000000"/>
                <w:sz w:val="16"/>
                <w:szCs w:val="16"/>
                <w:lang w:eastAsia="es-CO"/>
              </w:rPr>
            </w:pPr>
            <w:r w:rsidRPr="002D42DC">
              <w:rPr>
                <w:rFonts w:ascii="Calibri" w:hAnsi="Calibri" w:eastAsia="Times New Roman" w:cs="Calibri"/>
                <w:color w:val="000000"/>
                <w:sz w:val="16"/>
                <w:szCs w:val="16"/>
                <w:lang w:eastAsia="es-CO"/>
              </w:rPr>
              <w:t>Usuarios beneficiados con la ampliación de cobertura</w:t>
            </w:r>
          </w:p>
        </w:tc>
        <w:tc>
          <w:tcPr>
            <w:tcW w:w="980" w:type="dxa"/>
            <w:vMerge w:val="restart"/>
            <w:tcBorders>
              <w:top w:val="single" w:color="000000" w:sz="4" w:space="0"/>
              <w:left w:val="single" w:color="000000" w:sz="4" w:space="0"/>
              <w:bottom w:val="nil"/>
              <w:right w:val="single" w:color="000000" w:sz="4" w:space="0"/>
            </w:tcBorders>
            <w:noWrap/>
            <w:vAlign w:val="center"/>
            <w:hideMark/>
          </w:tcPr>
          <w:p w:rsidRPr="004131E4" w:rsidR="002D42DC" w:rsidP="00D97D31" w:rsidRDefault="002D42DC" w14:paraId="6E66663B" w14:textId="77777777">
            <w:pPr>
              <w:suppressAutoHyphens w:val="0"/>
              <w:spacing w:after="0"/>
              <w:jc w:val="center"/>
              <w:rPr>
                <w:rFonts w:ascii="Calibri" w:hAnsi="Calibri" w:eastAsia="Times New Roman" w:cs="Calibri"/>
                <w:color w:val="000000"/>
                <w:sz w:val="16"/>
                <w:szCs w:val="16"/>
                <w:highlight w:val="yellow"/>
                <w:lang w:eastAsia="es-CO"/>
              </w:rPr>
            </w:pPr>
            <w:r w:rsidRPr="004131E4">
              <w:rPr>
                <w:rFonts w:ascii="Calibri" w:hAnsi="Calibri" w:eastAsia="Times New Roman" w:cs="Calibri"/>
                <w:color w:val="000000"/>
                <w:sz w:val="16"/>
                <w:szCs w:val="16"/>
                <w:highlight w:val="yellow"/>
                <w:lang w:eastAsia="es-CO"/>
              </w:rPr>
              <w:t>55,854</w:t>
            </w:r>
          </w:p>
        </w:tc>
        <w:tc>
          <w:tcPr>
            <w:tcW w:w="980" w:type="dxa"/>
            <w:vMerge w:val="restart"/>
            <w:tcBorders>
              <w:top w:val="single" w:color="000000" w:sz="4" w:space="0"/>
              <w:left w:val="single" w:color="000000" w:sz="4" w:space="0"/>
              <w:bottom w:val="nil"/>
              <w:right w:val="single" w:color="000000" w:sz="4" w:space="0"/>
            </w:tcBorders>
            <w:noWrap/>
            <w:vAlign w:val="center"/>
            <w:hideMark/>
          </w:tcPr>
          <w:p w:rsidRPr="004131E4" w:rsidR="002D42DC" w:rsidP="00D97D31" w:rsidRDefault="002D42DC" w14:paraId="696CC99C" w14:textId="77777777">
            <w:pPr>
              <w:suppressAutoHyphens w:val="0"/>
              <w:spacing w:after="0"/>
              <w:jc w:val="center"/>
              <w:rPr>
                <w:rFonts w:ascii="Calibri" w:hAnsi="Calibri" w:eastAsia="Times New Roman" w:cs="Calibri"/>
                <w:color w:val="000000"/>
                <w:sz w:val="16"/>
                <w:szCs w:val="16"/>
                <w:highlight w:val="yellow"/>
                <w:lang w:eastAsia="es-CO"/>
              </w:rPr>
            </w:pPr>
            <w:r w:rsidRPr="004131E4">
              <w:rPr>
                <w:rFonts w:ascii="Calibri" w:hAnsi="Calibri" w:eastAsia="Times New Roman" w:cs="Calibri"/>
                <w:color w:val="000000"/>
                <w:sz w:val="16"/>
                <w:szCs w:val="16"/>
                <w:highlight w:val="yellow"/>
                <w:lang w:eastAsia="es-CO"/>
              </w:rPr>
              <w:t>60,992</w:t>
            </w:r>
          </w:p>
        </w:tc>
        <w:tc>
          <w:tcPr>
            <w:tcW w:w="1570" w:type="dxa"/>
            <w:tcBorders>
              <w:top w:val="single" w:color="000000" w:sz="4" w:space="0"/>
              <w:left w:val="single" w:color="000000" w:sz="4" w:space="0"/>
              <w:bottom w:val="single" w:color="000000" w:sz="4" w:space="0"/>
              <w:right w:val="single" w:color="000000" w:sz="4" w:space="0"/>
            </w:tcBorders>
            <w:vAlign w:val="center"/>
            <w:hideMark/>
          </w:tcPr>
          <w:p w:rsidRPr="002D42DC" w:rsidR="002D42DC" w:rsidP="00D97D31" w:rsidRDefault="002D42DC" w14:paraId="0D7F6055" w14:textId="77777777">
            <w:pPr>
              <w:suppressAutoHyphens w:val="0"/>
              <w:spacing w:after="0"/>
              <w:rPr>
                <w:rFonts w:ascii="Calibri" w:hAnsi="Calibri" w:eastAsia="Times New Roman" w:cs="Calibri"/>
                <w:color w:val="000000"/>
                <w:sz w:val="16"/>
                <w:szCs w:val="16"/>
                <w:lang w:eastAsia="es-CO"/>
              </w:rPr>
            </w:pPr>
            <w:r w:rsidRPr="002D42DC">
              <w:rPr>
                <w:rFonts w:ascii="Calibri" w:hAnsi="Calibri" w:eastAsia="Times New Roman" w:cs="Calibri"/>
                <w:color w:val="000000"/>
                <w:sz w:val="16"/>
                <w:szCs w:val="16"/>
                <w:lang w:eastAsia="es-CO"/>
              </w:rPr>
              <w:t>1.1.1 Asignar los recursos para financiar planes, programas o proyectos de</w:t>
            </w:r>
            <w:r w:rsidRPr="002D42DC">
              <w:rPr>
                <w:rFonts w:ascii="Calibri" w:hAnsi="Calibri" w:eastAsia="Times New Roman" w:cs="Calibri"/>
                <w:color w:val="000000"/>
                <w:sz w:val="16"/>
                <w:szCs w:val="16"/>
                <w:lang w:eastAsia="es-CO"/>
              </w:rPr>
              <w:br/>
            </w:r>
            <w:r w:rsidRPr="002D42DC">
              <w:rPr>
                <w:rFonts w:ascii="Calibri" w:hAnsi="Calibri" w:eastAsia="Times New Roman" w:cs="Calibri"/>
                <w:color w:val="000000"/>
                <w:sz w:val="16"/>
                <w:szCs w:val="16"/>
                <w:lang w:eastAsia="es-CO"/>
              </w:rPr>
              <w:t>inversión priorizados para la construcción e instalación de nueva infraestructura</w:t>
            </w:r>
            <w:r w:rsidRPr="002D42DC">
              <w:rPr>
                <w:rFonts w:ascii="Calibri" w:hAnsi="Calibri" w:eastAsia="Times New Roman" w:cs="Calibri"/>
                <w:color w:val="000000"/>
                <w:sz w:val="16"/>
                <w:szCs w:val="16"/>
                <w:lang w:eastAsia="es-CO"/>
              </w:rPr>
              <w:br/>
            </w:r>
            <w:r w:rsidRPr="002D42DC">
              <w:rPr>
                <w:rFonts w:ascii="Calibri" w:hAnsi="Calibri" w:eastAsia="Times New Roman" w:cs="Calibri"/>
                <w:color w:val="000000"/>
                <w:sz w:val="16"/>
                <w:szCs w:val="16"/>
                <w:lang w:eastAsia="es-CO"/>
              </w:rPr>
              <w:t xml:space="preserve">eléctrica en las zonas rurales interconectadas, que permitan el mejoramiento del servicio de </w:t>
            </w:r>
            <w:proofErr w:type="spellStart"/>
            <w:r w:rsidRPr="002D42DC">
              <w:rPr>
                <w:rFonts w:ascii="Calibri" w:hAnsi="Calibri" w:eastAsia="Times New Roman" w:cs="Calibri"/>
                <w:color w:val="000000"/>
                <w:sz w:val="16"/>
                <w:szCs w:val="16"/>
                <w:lang w:eastAsia="es-CO"/>
              </w:rPr>
              <w:t>energia</w:t>
            </w:r>
            <w:proofErr w:type="spellEnd"/>
            <w:r w:rsidRPr="002D42DC">
              <w:rPr>
                <w:rFonts w:ascii="Calibri" w:hAnsi="Calibri" w:eastAsia="Times New Roman" w:cs="Calibri"/>
                <w:color w:val="000000"/>
                <w:sz w:val="16"/>
                <w:szCs w:val="16"/>
                <w:lang w:eastAsia="es-CO"/>
              </w:rPr>
              <w:t xml:space="preserve"> eléctrica.</w:t>
            </w:r>
          </w:p>
        </w:tc>
        <w:tc>
          <w:tcPr>
            <w:tcW w:w="960" w:type="dxa"/>
            <w:tcBorders>
              <w:top w:val="single" w:color="000000" w:sz="4" w:space="0"/>
              <w:left w:val="single" w:color="000000" w:sz="4" w:space="0"/>
              <w:bottom w:val="single" w:color="000000" w:sz="4" w:space="0"/>
              <w:right w:val="single" w:color="000000" w:sz="4" w:space="0"/>
            </w:tcBorders>
            <w:noWrap/>
            <w:vAlign w:val="center"/>
            <w:hideMark/>
          </w:tcPr>
          <w:p w:rsidRPr="002D42DC" w:rsidR="002D42DC" w:rsidP="00D97D31" w:rsidRDefault="002D42DC" w14:paraId="6A9F5D9D" w14:textId="77777777">
            <w:pPr>
              <w:suppressAutoHyphens w:val="0"/>
              <w:spacing w:after="0"/>
              <w:rPr>
                <w:rFonts w:ascii="Calibri" w:hAnsi="Calibri" w:eastAsia="Times New Roman" w:cs="Calibri"/>
                <w:color w:val="000000"/>
                <w:sz w:val="16"/>
                <w:szCs w:val="16"/>
                <w:lang w:eastAsia="es-CO"/>
              </w:rPr>
            </w:pPr>
            <w:r w:rsidRPr="002D42DC">
              <w:rPr>
                <w:rFonts w:ascii="Calibri" w:hAnsi="Calibri" w:eastAsia="Times New Roman" w:cs="Calibri"/>
                <w:color w:val="000000"/>
                <w:sz w:val="16"/>
                <w:szCs w:val="16"/>
                <w:lang w:eastAsia="es-CO"/>
              </w:rPr>
              <w:t>Inversión</w:t>
            </w:r>
          </w:p>
        </w:tc>
        <w:tc>
          <w:tcPr>
            <w:tcW w:w="960" w:type="dxa"/>
            <w:tcBorders>
              <w:top w:val="single" w:color="000000" w:sz="4" w:space="0"/>
              <w:left w:val="single" w:color="000000" w:sz="4" w:space="0"/>
              <w:bottom w:val="single" w:color="000000" w:sz="4" w:space="0"/>
              <w:right w:val="single" w:color="000000" w:sz="4" w:space="0"/>
            </w:tcBorders>
            <w:noWrap/>
            <w:vAlign w:val="center"/>
            <w:hideMark/>
          </w:tcPr>
          <w:p w:rsidRPr="002D42DC" w:rsidR="002D42DC" w:rsidP="00D97D31" w:rsidRDefault="002D42DC" w14:paraId="7ED74DD6" w14:textId="77777777">
            <w:pPr>
              <w:suppressAutoHyphens w:val="0"/>
              <w:spacing w:after="0"/>
              <w:jc w:val="center"/>
              <w:rPr>
                <w:rFonts w:ascii="Calibri" w:hAnsi="Calibri" w:eastAsia="Times New Roman" w:cs="Calibri"/>
                <w:color w:val="000000"/>
                <w:sz w:val="16"/>
                <w:szCs w:val="16"/>
                <w:lang w:eastAsia="es-CO"/>
              </w:rPr>
            </w:pPr>
            <w:r w:rsidRPr="002D42DC">
              <w:rPr>
                <w:rFonts w:ascii="Calibri" w:hAnsi="Calibri" w:eastAsia="Times New Roman" w:cs="Calibri"/>
                <w:color w:val="000000"/>
                <w:sz w:val="16"/>
                <w:szCs w:val="16"/>
                <w:lang w:eastAsia="es-CO"/>
              </w:rPr>
              <w:t>Si</w:t>
            </w:r>
          </w:p>
        </w:tc>
        <w:tc>
          <w:tcPr>
            <w:tcW w:w="1354" w:type="dxa"/>
            <w:vMerge w:val="restart"/>
            <w:tcBorders>
              <w:top w:val="single" w:color="000000" w:sz="4" w:space="0"/>
              <w:left w:val="single" w:color="000000" w:sz="4" w:space="0"/>
              <w:bottom w:val="nil"/>
              <w:right w:val="single" w:color="000000" w:sz="4" w:space="0"/>
            </w:tcBorders>
            <w:noWrap/>
            <w:vAlign w:val="center"/>
            <w:hideMark/>
          </w:tcPr>
          <w:p w:rsidRPr="002D42DC" w:rsidR="002D42DC" w:rsidP="00D97D31" w:rsidRDefault="002D42DC" w14:paraId="24D209F9" w14:textId="77777777">
            <w:pPr>
              <w:suppressAutoHyphens w:val="0"/>
              <w:spacing w:after="0"/>
              <w:jc w:val="center"/>
              <w:rPr>
                <w:rFonts w:ascii="Calibri" w:hAnsi="Calibri" w:eastAsia="Times New Roman" w:cs="Calibri"/>
                <w:color w:val="000000"/>
                <w:sz w:val="16"/>
                <w:szCs w:val="16"/>
                <w:lang w:eastAsia="es-CO"/>
              </w:rPr>
            </w:pPr>
            <w:r w:rsidRPr="002D42DC">
              <w:rPr>
                <w:rFonts w:ascii="Calibri" w:hAnsi="Calibri" w:eastAsia="Times New Roman" w:cs="Calibri"/>
                <w:color w:val="000000"/>
                <w:sz w:val="16"/>
                <w:szCs w:val="16"/>
                <w:lang w:eastAsia="es-CO"/>
              </w:rPr>
              <w:t>$ 200,000,000,000</w:t>
            </w:r>
          </w:p>
        </w:tc>
        <w:tc>
          <w:tcPr>
            <w:tcW w:w="1400" w:type="dxa"/>
            <w:tcBorders>
              <w:top w:val="single" w:color="000000" w:sz="4" w:space="0"/>
              <w:left w:val="single" w:color="000000" w:sz="4" w:space="0"/>
              <w:bottom w:val="single" w:color="000000" w:sz="4" w:space="0"/>
              <w:right w:val="single" w:color="auto" w:sz="12" w:space="0"/>
            </w:tcBorders>
            <w:noWrap/>
            <w:vAlign w:val="center"/>
            <w:hideMark/>
          </w:tcPr>
          <w:p w:rsidRPr="002D42DC" w:rsidR="002D42DC" w:rsidP="00D97D31" w:rsidRDefault="002D42DC" w14:paraId="28D5596B" w14:textId="77777777">
            <w:pPr>
              <w:suppressAutoHyphens w:val="0"/>
              <w:spacing w:after="0"/>
              <w:rPr>
                <w:rFonts w:ascii="Calibri" w:hAnsi="Calibri" w:eastAsia="Times New Roman" w:cs="Calibri"/>
                <w:color w:val="000000"/>
                <w:sz w:val="16"/>
                <w:szCs w:val="16"/>
                <w:lang w:eastAsia="es-CO"/>
              </w:rPr>
            </w:pPr>
            <w:r w:rsidRPr="002D42DC">
              <w:rPr>
                <w:rFonts w:ascii="Calibri" w:hAnsi="Calibri" w:eastAsia="Times New Roman" w:cs="Calibri"/>
                <w:color w:val="000000"/>
                <w:sz w:val="16"/>
                <w:szCs w:val="16"/>
                <w:lang w:eastAsia="es-CO"/>
              </w:rPr>
              <w:t>$ 0</w:t>
            </w:r>
          </w:p>
        </w:tc>
      </w:tr>
      <w:tr w:rsidRPr="002D42DC" w:rsidR="002D42DC" w:rsidTr="00D877D0" w14:paraId="6CDD492F" w14:textId="77777777">
        <w:trPr>
          <w:trHeight w:val="2220"/>
        </w:trPr>
        <w:tc>
          <w:tcPr>
            <w:tcW w:w="851" w:type="dxa"/>
            <w:vMerge/>
            <w:tcBorders>
              <w:top w:val="single" w:color="000000" w:sz="4" w:space="0"/>
              <w:left w:val="single" w:color="auto" w:sz="12" w:space="0"/>
              <w:bottom w:val="nil"/>
              <w:right w:val="single" w:color="000000" w:sz="4" w:space="0"/>
            </w:tcBorders>
            <w:vAlign w:val="center"/>
            <w:hideMark/>
          </w:tcPr>
          <w:p w:rsidRPr="002D42DC" w:rsidR="002D42DC" w:rsidP="00D97D31" w:rsidRDefault="002D42DC" w14:paraId="35F74379" w14:textId="77777777">
            <w:pPr>
              <w:suppressAutoHyphens w:val="0"/>
              <w:spacing w:after="0"/>
              <w:rPr>
                <w:rFonts w:ascii="Calibri" w:hAnsi="Calibri" w:eastAsia="Times New Roman" w:cs="Calibri"/>
                <w:color w:val="000000"/>
                <w:sz w:val="16"/>
                <w:szCs w:val="16"/>
                <w:lang w:eastAsia="es-CO"/>
              </w:rPr>
            </w:pPr>
          </w:p>
        </w:tc>
        <w:tc>
          <w:tcPr>
            <w:tcW w:w="1418" w:type="dxa"/>
            <w:vMerge/>
            <w:tcBorders>
              <w:top w:val="single" w:color="000000" w:sz="4" w:space="0"/>
              <w:left w:val="single" w:color="000000" w:sz="4" w:space="0"/>
              <w:bottom w:val="nil"/>
              <w:right w:val="single" w:color="000000" w:sz="4" w:space="0"/>
            </w:tcBorders>
            <w:vAlign w:val="center"/>
            <w:hideMark/>
          </w:tcPr>
          <w:p w:rsidRPr="002D42DC" w:rsidR="002D42DC" w:rsidP="00D97D31" w:rsidRDefault="002D42DC" w14:paraId="69E44CE0" w14:textId="77777777">
            <w:pPr>
              <w:suppressAutoHyphens w:val="0"/>
              <w:spacing w:after="0"/>
              <w:rPr>
                <w:rFonts w:ascii="Calibri" w:hAnsi="Calibri" w:eastAsia="Times New Roman" w:cs="Calibri"/>
                <w:color w:val="000000"/>
                <w:sz w:val="16"/>
                <w:szCs w:val="16"/>
                <w:lang w:eastAsia="es-CO"/>
              </w:rPr>
            </w:pPr>
          </w:p>
        </w:tc>
        <w:tc>
          <w:tcPr>
            <w:tcW w:w="1134" w:type="dxa"/>
            <w:vMerge/>
            <w:tcBorders>
              <w:top w:val="single" w:color="000000" w:sz="4" w:space="0"/>
              <w:left w:val="single" w:color="000000" w:sz="4" w:space="0"/>
              <w:bottom w:val="nil"/>
              <w:right w:val="single" w:color="000000" w:sz="4" w:space="0"/>
            </w:tcBorders>
            <w:vAlign w:val="center"/>
            <w:hideMark/>
          </w:tcPr>
          <w:p w:rsidRPr="002D42DC" w:rsidR="002D42DC" w:rsidP="00D97D31" w:rsidRDefault="002D42DC" w14:paraId="766617FF" w14:textId="77777777">
            <w:pPr>
              <w:suppressAutoHyphens w:val="0"/>
              <w:spacing w:after="0"/>
              <w:rPr>
                <w:rFonts w:ascii="Calibri" w:hAnsi="Calibri" w:eastAsia="Times New Roman" w:cs="Calibri"/>
                <w:color w:val="000000"/>
                <w:sz w:val="16"/>
                <w:szCs w:val="16"/>
                <w:lang w:eastAsia="es-CO"/>
              </w:rPr>
            </w:pPr>
          </w:p>
        </w:tc>
        <w:tc>
          <w:tcPr>
            <w:tcW w:w="980" w:type="dxa"/>
            <w:vMerge/>
            <w:tcBorders>
              <w:top w:val="single" w:color="000000" w:sz="4" w:space="0"/>
              <w:left w:val="single" w:color="000000" w:sz="4" w:space="0"/>
              <w:bottom w:val="nil"/>
              <w:right w:val="single" w:color="000000" w:sz="4" w:space="0"/>
            </w:tcBorders>
            <w:vAlign w:val="center"/>
            <w:hideMark/>
          </w:tcPr>
          <w:p w:rsidRPr="002D42DC" w:rsidR="002D42DC" w:rsidP="00D97D31" w:rsidRDefault="002D42DC" w14:paraId="45B37DAF" w14:textId="77777777">
            <w:pPr>
              <w:suppressAutoHyphens w:val="0"/>
              <w:spacing w:after="0"/>
              <w:rPr>
                <w:rFonts w:ascii="Calibri" w:hAnsi="Calibri" w:eastAsia="Times New Roman" w:cs="Calibri"/>
                <w:color w:val="000000"/>
                <w:sz w:val="16"/>
                <w:szCs w:val="16"/>
                <w:lang w:eastAsia="es-CO"/>
              </w:rPr>
            </w:pPr>
          </w:p>
        </w:tc>
        <w:tc>
          <w:tcPr>
            <w:tcW w:w="980" w:type="dxa"/>
            <w:vMerge/>
            <w:tcBorders>
              <w:top w:val="single" w:color="000000" w:sz="4" w:space="0"/>
              <w:left w:val="single" w:color="000000" w:sz="4" w:space="0"/>
              <w:bottom w:val="nil"/>
              <w:right w:val="single" w:color="000000" w:sz="4" w:space="0"/>
            </w:tcBorders>
            <w:vAlign w:val="center"/>
            <w:hideMark/>
          </w:tcPr>
          <w:p w:rsidRPr="002D42DC" w:rsidR="002D42DC" w:rsidP="00D97D31" w:rsidRDefault="002D42DC" w14:paraId="11E979B8" w14:textId="77777777">
            <w:pPr>
              <w:suppressAutoHyphens w:val="0"/>
              <w:spacing w:after="0"/>
              <w:rPr>
                <w:rFonts w:ascii="Calibri" w:hAnsi="Calibri" w:eastAsia="Times New Roman" w:cs="Calibri"/>
                <w:color w:val="000000"/>
                <w:sz w:val="16"/>
                <w:szCs w:val="16"/>
                <w:lang w:eastAsia="es-CO"/>
              </w:rPr>
            </w:pPr>
          </w:p>
        </w:tc>
        <w:tc>
          <w:tcPr>
            <w:tcW w:w="1570" w:type="dxa"/>
            <w:tcBorders>
              <w:top w:val="single" w:color="000000" w:sz="4" w:space="0"/>
              <w:left w:val="single" w:color="000000" w:sz="4" w:space="0"/>
              <w:bottom w:val="single" w:color="000000" w:sz="4" w:space="0"/>
              <w:right w:val="single" w:color="000000" w:sz="4" w:space="0"/>
            </w:tcBorders>
            <w:vAlign w:val="center"/>
            <w:hideMark/>
          </w:tcPr>
          <w:p w:rsidRPr="002D42DC" w:rsidR="002D42DC" w:rsidP="00D97D31" w:rsidRDefault="002D42DC" w14:paraId="44EF44D6" w14:textId="77777777">
            <w:pPr>
              <w:suppressAutoHyphens w:val="0"/>
              <w:spacing w:after="0"/>
              <w:rPr>
                <w:rFonts w:ascii="Calibri" w:hAnsi="Calibri" w:eastAsia="Times New Roman" w:cs="Calibri"/>
                <w:color w:val="000000"/>
                <w:sz w:val="16"/>
                <w:szCs w:val="16"/>
                <w:lang w:eastAsia="es-CO"/>
              </w:rPr>
            </w:pPr>
            <w:r w:rsidRPr="002D42DC">
              <w:rPr>
                <w:rFonts w:ascii="Calibri" w:hAnsi="Calibri" w:eastAsia="Times New Roman" w:cs="Calibri"/>
                <w:color w:val="000000"/>
                <w:sz w:val="16"/>
                <w:szCs w:val="16"/>
                <w:lang w:eastAsia="es-CO"/>
              </w:rPr>
              <w:t>1.1.2 Asignar los recursos para financiar planes, programas o proyectos de inversión priorizados para la construcción e instalación de nueva infraestructura eléctrica en las zonas rurales interconectadas, que permita ampliar la cobertura y procurar la satisfacción de la demanda de energía</w:t>
            </w:r>
          </w:p>
        </w:tc>
        <w:tc>
          <w:tcPr>
            <w:tcW w:w="960" w:type="dxa"/>
            <w:tcBorders>
              <w:top w:val="single" w:color="000000" w:sz="4" w:space="0"/>
              <w:left w:val="single" w:color="000000" w:sz="4" w:space="0"/>
              <w:bottom w:val="single" w:color="000000" w:sz="4" w:space="0"/>
              <w:right w:val="single" w:color="000000" w:sz="4" w:space="0"/>
            </w:tcBorders>
            <w:noWrap/>
            <w:vAlign w:val="center"/>
            <w:hideMark/>
          </w:tcPr>
          <w:p w:rsidRPr="002D42DC" w:rsidR="002D42DC" w:rsidP="00D97D31" w:rsidRDefault="002D42DC" w14:paraId="2A309A0A" w14:textId="77777777">
            <w:pPr>
              <w:suppressAutoHyphens w:val="0"/>
              <w:spacing w:after="0"/>
              <w:rPr>
                <w:rFonts w:ascii="Calibri" w:hAnsi="Calibri" w:eastAsia="Times New Roman" w:cs="Calibri"/>
                <w:color w:val="000000"/>
                <w:sz w:val="16"/>
                <w:szCs w:val="16"/>
                <w:lang w:eastAsia="es-CO"/>
              </w:rPr>
            </w:pPr>
            <w:r w:rsidRPr="002D42DC">
              <w:rPr>
                <w:rFonts w:ascii="Calibri" w:hAnsi="Calibri" w:eastAsia="Times New Roman" w:cs="Calibri"/>
                <w:color w:val="000000"/>
                <w:sz w:val="16"/>
                <w:szCs w:val="16"/>
                <w:lang w:eastAsia="es-CO"/>
              </w:rPr>
              <w:t>Inversión</w:t>
            </w:r>
          </w:p>
        </w:tc>
        <w:tc>
          <w:tcPr>
            <w:tcW w:w="960" w:type="dxa"/>
            <w:tcBorders>
              <w:top w:val="single" w:color="000000" w:sz="4" w:space="0"/>
              <w:left w:val="single" w:color="000000" w:sz="4" w:space="0"/>
              <w:bottom w:val="single" w:color="000000" w:sz="4" w:space="0"/>
              <w:right w:val="single" w:color="000000" w:sz="4" w:space="0"/>
            </w:tcBorders>
            <w:noWrap/>
            <w:vAlign w:val="center"/>
            <w:hideMark/>
          </w:tcPr>
          <w:p w:rsidRPr="002D42DC" w:rsidR="002D42DC" w:rsidP="00D97D31" w:rsidRDefault="002D42DC" w14:paraId="2592325F" w14:textId="77777777">
            <w:pPr>
              <w:suppressAutoHyphens w:val="0"/>
              <w:spacing w:after="0"/>
              <w:jc w:val="center"/>
              <w:rPr>
                <w:rFonts w:ascii="Calibri" w:hAnsi="Calibri" w:eastAsia="Times New Roman" w:cs="Calibri"/>
                <w:color w:val="000000"/>
                <w:sz w:val="16"/>
                <w:szCs w:val="16"/>
                <w:lang w:eastAsia="es-CO"/>
              </w:rPr>
            </w:pPr>
            <w:r w:rsidRPr="002D42DC">
              <w:rPr>
                <w:rFonts w:ascii="Calibri" w:hAnsi="Calibri" w:eastAsia="Times New Roman" w:cs="Calibri"/>
                <w:color w:val="000000"/>
                <w:sz w:val="16"/>
                <w:szCs w:val="16"/>
                <w:lang w:eastAsia="es-CO"/>
              </w:rPr>
              <w:t>No</w:t>
            </w:r>
          </w:p>
        </w:tc>
        <w:tc>
          <w:tcPr>
            <w:tcW w:w="1354" w:type="dxa"/>
            <w:vMerge/>
            <w:tcBorders>
              <w:top w:val="single" w:color="000000" w:sz="4" w:space="0"/>
              <w:left w:val="single" w:color="000000" w:sz="4" w:space="0"/>
              <w:bottom w:val="nil"/>
              <w:right w:val="single" w:color="000000" w:sz="4" w:space="0"/>
            </w:tcBorders>
            <w:vAlign w:val="center"/>
            <w:hideMark/>
          </w:tcPr>
          <w:p w:rsidRPr="002D42DC" w:rsidR="002D42DC" w:rsidP="00D97D31" w:rsidRDefault="002D42DC" w14:paraId="74A33DF3" w14:textId="77777777">
            <w:pPr>
              <w:suppressAutoHyphens w:val="0"/>
              <w:spacing w:after="0"/>
              <w:rPr>
                <w:rFonts w:ascii="Calibri" w:hAnsi="Calibri" w:eastAsia="Times New Roman" w:cs="Calibri"/>
                <w:color w:val="000000"/>
                <w:sz w:val="16"/>
                <w:szCs w:val="16"/>
                <w:lang w:eastAsia="es-CO"/>
              </w:rPr>
            </w:pPr>
          </w:p>
        </w:tc>
        <w:tc>
          <w:tcPr>
            <w:tcW w:w="1400" w:type="dxa"/>
            <w:tcBorders>
              <w:top w:val="single" w:color="000000" w:sz="4" w:space="0"/>
              <w:left w:val="single" w:color="000000" w:sz="4" w:space="0"/>
              <w:bottom w:val="single" w:color="000000" w:sz="4" w:space="0"/>
              <w:right w:val="single" w:color="auto" w:sz="12" w:space="0"/>
            </w:tcBorders>
            <w:noWrap/>
            <w:vAlign w:val="center"/>
            <w:hideMark/>
          </w:tcPr>
          <w:p w:rsidRPr="004131E4" w:rsidR="002D42DC" w:rsidP="00D97D31" w:rsidRDefault="002D42DC" w14:paraId="358C9282" w14:textId="77777777">
            <w:pPr>
              <w:suppressAutoHyphens w:val="0"/>
              <w:spacing w:after="0"/>
              <w:rPr>
                <w:rFonts w:ascii="Calibri" w:hAnsi="Calibri" w:eastAsia="Times New Roman" w:cs="Calibri"/>
                <w:color w:val="000000"/>
                <w:sz w:val="16"/>
                <w:szCs w:val="16"/>
                <w:highlight w:val="yellow"/>
                <w:lang w:eastAsia="es-CO"/>
              </w:rPr>
            </w:pPr>
            <w:r w:rsidRPr="004131E4">
              <w:rPr>
                <w:rFonts w:ascii="Calibri" w:hAnsi="Calibri" w:eastAsia="Times New Roman" w:cs="Calibri"/>
                <w:color w:val="000000"/>
                <w:sz w:val="16"/>
                <w:szCs w:val="16"/>
                <w:highlight w:val="yellow"/>
                <w:lang w:eastAsia="es-CO"/>
              </w:rPr>
              <w:t>$ 195,160,000,000</w:t>
            </w:r>
          </w:p>
        </w:tc>
      </w:tr>
      <w:tr w:rsidRPr="002D42DC" w:rsidR="002D42DC" w:rsidTr="00D877D0" w14:paraId="60C6AD92" w14:textId="77777777">
        <w:trPr>
          <w:trHeight w:val="1140"/>
        </w:trPr>
        <w:tc>
          <w:tcPr>
            <w:tcW w:w="851" w:type="dxa"/>
            <w:vMerge/>
            <w:tcBorders>
              <w:top w:val="single" w:color="000000" w:sz="4" w:space="0"/>
              <w:left w:val="single" w:color="auto" w:sz="12" w:space="0"/>
              <w:bottom w:val="nil"/>
              <w:right w:val="single" w:color="000000" w:sz="4" w:space="0"/>
            </w:tcBorders>
            <w:vAlign w:val="center"/>
            <w:hideMark/>
          </w:tcPr>
          <w:p w:rsidRPr="002D42DC" w:rsidR="002D42DC" w:rsidP="00D97D31" w:rsidRDefault="002D42DC" w14:paraId="004D869D" w14:textId="77777777">
            <w:pPr>
              <w:suppressAutoHyphens w:val="0"/>
              <w:spacing w:after="0"/>
              <w:rPr>
                <w:rFonts w:ascii="Calibri" w:hAnsi="Calibri" w:eastAsia="Times New Roman" w:cs="Calibri"/>
                <w:color w:val="000000"/>
                <w:sz w:val="16"/>
                <w:szCs w:val="16"/>
                <w:lang w:eastAsia="es-CO"/>
              </w:rPr>
            </w:pPr>
          </w:p>
        </w:tc>
        <w:tc>
          <w:tcPr>
            <w:tcW w:w="1418" w:type="dxa"/>
            <w:vMerge/>
            <w:tcBorders>
              <w:top w:val="single" w:color="000000" w:sz="4" w:space="0"/>
              <w:left w:val="single" w:color="000000" w:sz="4" w:space="0"/>
              <w:bottom w:val="nil"/>
              <w:right w:val="single" w:color="000000" w:sz="4" w:space="0"/>
            </w:tcBorders>
            <w:vAlign w:val="center"/>
            <w:hideMark/>
          </w:tcPr>
          <w:p w:rsidRPr="002D42DC" w:rsidR="002D42DC" w:rsidP="00D97D31" w:rsidRDefault="002D42DC" w14:paraId="3931F64C" w14:textId="77777777">
            <w:pPr>
              <w:suppressAutoHyphens w:val="0"/>
              <w:spacing w:after="0"/>
              <w:rPr>
                <w:rFonts w:ascii="Calibri" w:hAnsi="Calibri" w:eastAsia="Times New Roman" w:cs="Calibri"/>
                <w:color w:val="000000"/>
                <w:sz w:val="16"/>
                <w:szCs w:val="16"/>
                <w:lang w:eastAsia="es-CO"/>
              </w:rPr>
            </w:pPr>
          </w:p>
        </w:tc>
        <w:tc>
          <w:tcPr>
            <w:tcW w:w="1134" w:type="dxa"/>
            <w:vMerge w:val="restart"/>
            <w:tcBorders>
              <w:top w:val="nil"/>
              <w:left w:val="single" w:color="000000" w:sz="4" w:space="0"/>
              <w:bottom w:val="nil"/>
              <w:right w:val="single" w:color="000000" w:sz="4" w:space="0"/>
            </w:tcBorders>
            <w:vAlign w:val="center"/>
            <w:hideMark/>
          </w:tcPr>
          <w:p w:rsidRPr="002D42DC" w:rsidR="002D42DC" w:rsidP="00D97D31" w:rsidRDefault="002D42DC" w14:paraId="4CC2A377" w14:textId="77777777">
            <w:pPr>
              <w:suppressAutoHyphens w:val="0"/>
              <w:spacing w:after="0"/>
              <w:jc w:val="center"/>
              <w:rPr>
                <w:rFonts w:ascii="Calibri" w:hAnsi="Calibri" w:eastAsia="Times New Roman" w:cs="Calibri"/>
                <w:color w:val="000000"/>
                <w:sz w:val="16"/>
                <w:szCs w:val="16"/>
                <w:lang w:eastAsia="es-CO"/>
              </w:rPr>
            </w:pPr>
            <w:r w:rsidRPr="002D42DC">
              <w:rPr>
                <w:rFonts w:ascii="Calibri" w:hAnsi="Calibri" w:eastAsia="Times New Roman" w:cs="Calibri"/>
                <w:color w:val="000000"/>
                <w:sz w:val="16"/>
                <w:szCs w:val="16"/>
                <w:lang w:eastAsia="es-CO"/>
              </w:rPr>
              <w:t>Usuarios beneficiados con del mejoramiento de la infraestructura</w:t>
            </w:r>
          </w:p>
        </w:tc>
        <w:tc>
          <w:tcPr>
            <w:tcW w:w="980" w:type="dxa"/>
            <w:vMerge w:val="restart"/>
            <w:tcBorders>
              <w:top w:val="single" w:color="000000" w:sz="4" w:space="0"/>
              <w:left w:val="single" w:color="000000" w:sz="4" w:space="0"/>
              <w:bottom w:val="nil"/>
              <w:right w:val="single" w:color="000000" w:sz="4" w:space="0"/>
            </w:tcBorders>
            <w:noWrap/>
            <w:vAlign w:val="center"/>
            <w:hideMark/>
          </w:tcPr>
          <w:p w:rsidRPr="004131E4" w:rsidR="002D42DC" w:rsidP="00D97D31" w:rsidRDefault="002D42DC" w14:paraId="6205FCFF" w14:textId="77777777">
            <w:pPr>
              <w:suppressAutoHyphens w:val="0"/>
              <w:spacing w:after="0"/>
              <w:jc w:val="center"/>
              <w:rPr>
                <w:rFonts w:ascii="Calibri" w:hAnsi="Calibri" w:eastAsia="Times New Roman" w:cs="Calibri"/>
                <w:color w:val="000000"/>
                <w:sz w:val="16"/>
                <w:szCs w:val="16"/>
                <w:highlight w:val="yellow"/>
                <w:lang w:eastAsia="es-CO"/>
              </w:rPr>
            </w:pPr>
            <w:r w:rsidRPr="004131E4">
              <w:rPr>
                <w:rFonts w:ascii="Calibri" w:hAnsi="Calibri" w:eastAsia="Times New Roman" w:cs="Calibri"/>
                <w:color w:val="000000"/>
                <w:sz w:val="16"/>
                <w:szCs w:val="16"/>
                <w:highlight w:val="yellow"/>
                <w:lang w:eastAsia="es-CO"/>
              </w:rPr>
              <w:t>28,917</w:t>
            </w:r>
          </w:p>
        </w:tc>
        <w:tc>
          <w:tcPr>
            <w:tcW w:w="980" w:type="dxa"/>
            <w:vMerge w:val="restart"/>
            <w:tcBorders>
              <w:top w:val="single" w:color="000000" w:sz="4" w:space="0"/>
              <w:left w:val="single" w:color="000000" w:sz="4" w:space="0"/>
              <w:bottom w:val="nil"/>
              <w:right w:val="single" w:color="000000" w:sz="4" w:space="0"/>
            </w:tcBorders>
            <w:noWrap/>
            <w:vAlign w:val="center"/>
            <w:hideMark/>
          </w:tcPr>
          <w:p w:rsidRPr="004131E4" w:rsidR="002D42DC" w:rsidP="00D97D31" w:rsidRDefault="002D42DC" w14:paraId="1AC7AAA4" w14:textId="77777777">
            <w:pPr>
              <w:suppressAutoHyphens w:val="0"/>
              <w:spacing w:after="0"/>
              <w:jc w:val="center"/>
              <w:rPr>
                <w:rFonts w:ascii="Calibri" w:hAnsi="Calibri" w:eastAsia="Times New Roman" w:cs="Calibri"/>
                <w:color w:val="000000"/>
                <w:sz w:val="16"/>
                <w:szCs w:val="16"/>
                <w:highlight w:val="yellow"/>
                <w:lang w:eastAsia="es-CO"/>
              </w:rPr>
            </w:pPr>
            <w:r w:rsidRPr="004131E4">
              <w:rPr>
                <w:rFonts w:ascii="Calibri" w:hAnsi="Calibri" w:eastAsia="Times New Roman" w:cs="Calibri"/>
                <w:color w:val="000000"/>
                <w:sz w:val="16"/>
                <w:szCs w:val="16"/>
                <w:highlight w:val="yellow"/>
                <w:lang w:eastAsia="es-CO"/>
              </w:rPr>
              <w:t>28,917</w:t>
            </w:r>
          </w:p>
        </w:tc>
        <w:tc>
          <w:tcPr>
            <w:tcW w:w="1570" w:type="dxa"/>
            <w:tcBorders>
              <w:top w:val="single" w:color="000000" w:sz="4" w:space="0"/>
              <w:left w:val="single" w:color="000000" w:sz="4" w:space="0"/>
              <w:bottom w:val="single" w:color="000000" w:sz="4" w:space="0"/>
              <w:right w:val="single" w:color="000000" w:sz="4" w:space="0"/>
            </w:tcBorders>
            <w:vAlign w:val="center"/>
            <w:hideMark/>
          </w:tcPr>
          <w:p w:rsidRPr="002D42DC" w:rsidR="002D42DC" w:rsidP="00D97D31" w:rsidRDefault="002D42DC" w14:paraId="78EA0D8C" w14:textId="77777777">
            <w:pPr>
              <w:suppressAutoHyphens w:val="0"/>
              <w:spacing w:after="0"/>
              <w:rPr>
                <w:rFonts w:ascii="Calibri" w:hAnsi="Calibri" w:eastAsia="Times New Roman" w:cs="Calibri"/>
                <w:color w:val="000000"/>
                <w:sz w:val="16"/>
                <w:szCs w:val="16"/>
                <w:lang w:eastAsia="es-CO"/>
              </w:rPr>
            </w:pPr>
            <w:r w:rsidRPr="002D42DC">
              <w:rPr>
                <w:rFonts w:ascii="Calibri" w:hAnsi="Calibri" w:eastAsia="Times New Roman" w:cs="Calibri"/>
                <w:color w:val="000000"/>
                <w:sz w:val="16"/>
                <w:szCs w:val="16"/>
                <w:lang w:eastAsia="es-CO"/>
              </w:rPr>
              <w:t>1.1.3 Girar recursos para la promoción y capacitación en el uso adecuado de la</w:t>
            </w:r>
            <w:r w:rsidRPr="002D42DC">
              <w:rPr>
                <w:rFonts w:ascii="Calibri" w:hAnsi="Calibri" w:eastAsia="Times New Roman" w:cs="Calibri"/>
                <w:color w:val="000000"/>
                <w:sz w:val="16"/>
                <w:szCs w:val="16"/>
                <w:lang w:eastAsia="es-CO"/>
              </w:rPr>
              <w:br/>
            </w:r>
            <w:r w:rsidRPr="002D42DC">
              <w:rPr>
                <w:rFonts w:ascii="Calibri" w:hAnsi="Calibri" w:eastAsia="Times New Roman" w:cs="Calibri"/>
                <w:color w:val="000000"/>
                <w:sz w:val="16"/>
                <w:szCs w:val="16"/>
                <w:lang w:eastAsia="es-CO"/>
              </w:rPr>
              <w:t>energía para su sostenibilidad.</w:t>
            </w:r>
          </w:p>
        </w:tc>
        <w:tc>
          <w:tcPr>
            <w:tcW w:w="960" w:type="dxa"/>
            <w:tcBorders>
              <w:top w:val="single" w:color="000000" w:sz="4" w:space="0"/>
              <w:left w:val="single" w:color="000000" w:sz="4" w:space="0"/>
              <w:bottom w:val="single" w:color="000000" w:sz="4" w:space="0"/>
              <w:right w:val="single" w:color="000000" w:sz="4" w:space="0"/>
            </w:tcBorders>
            <w:noWrap/>
            <w:vAlign w:val="center"/>
            <w:hideMark/>
          </w:tcPr>
          <w:p w:rsidRPr="002D42DC" w:rsidR="002D42DC" w:rsidP="00D97D31" w:rsidRDefault="002D42DC" w14:paraId="4616A800" w14:textId="77777777">
            <w:pPr>
              <w:suppressAutoHyphens w:val="0"/>
              <w:spacing w:after="0"/>
              <w:rPr>
                <w:rFonts w:ascii="Calibri" w:hAnsi="Calibri" w:eastAsia="Times New Roman" w:cs="Calibri"/>
                <w:color w:val="000000"/>
                <w:sz w:val="16"/>
                <w:szCs w:val="16"/>
                <w:lang w:eastAsia="es-CO"/>
              </w:rPr>
            </w:pPr>
            <w:r w:rsidRPr="002D42DC">
              <w:rPr>
                <w:rFonts w:ascii="Calibri" w:hAnsi="Calibri" w:eastAsia="Times New Roman" w:cs="Calibri"/>
                <w:color w:val="000000"/>
                <w:sz w:val="16"/>
                <w:szCs w:val="16"/>
                <w:lang w:eastAsia="es-CO"/>
              </w:rPr>
              <w:t>Inversión</w:t>
            </w:r>
          </w:p>
        </w:tc>
        <w:tc>
          <w:tcPr>
            <w:tcW w:w="960" w:type="dxa"/>
            <w:tcBorders>
              <w:top w:val="single" w:color="000000" w:sz="4" w:space="0"/>
              <w:left w:val="single" w:color="000000" w:sz="4" w:space="0"/>
              <w:bottom w:val="single" w:color="000000" w:sz="4" w:space="0"/>
              <w:right w:val="single" w:color="000000" w:sz="4" w:space="0"/>
            </w:tcBorders>
            <w:noWrap/>
            <w:vAlign w:val="center"/>
            <w:hideMark/>
          </w:tcPr>
          <w:p w:rsidRPr="002D42DC" w:rsidR="002D42DC" w:rsidP="00D97D31" w:rsidRDefault="002D42DC" w14:paraId="6E37D074" w14:textId="77777777">
            <w:pPr>
              <w:suppressAutoHyphens w:val="0"/>
              <w:spacing w:after="0"/>
              <w:jc w:val="center"/>
              <w:rPr>
                <w:rFonts w:ascii="Calibri" w:hAnsi="Calibri" w:eastAsia="Times New Roman" w:cs="Calibri"/>
                <w:color w:val="000000"/>
                <w:sz w:val="16"/>
                <w:szCs w:val="16"/>
                <w:lang w:eastAsia="es-CO"/>
              </w:rPr>
            </w:pPr>
            <w:r w:rsidRPr="002D42DC">
              <w:rPr>
                <w:rFonts w:ascii="Calibri" w:hAnsi="Calibri" w:eastAsia="Times New Roman" w:cs="Calibri"/>
                <w:color w:val="000000"/>
                <w:sz w:val="16"/>
                <w:szCs w:val="16"/>
                <w:lang w:eastAsia="es-CO"/>
              </w:rPr>
              <w:t>No</w:t>
            </w:r>
          </w:p>
        </w:tc>
        <w:tc>
          <w:tcPr>
            <w:tcW w:w="1354" w:type="dxa"/>
            <w:vMerge/>
            <w:tcBorders>
              <w:top w:val="single" w:color="000000" w:sz="4" w:space="0"/>
              <w:left w:val="single" w:color="000000" w:sz="4" w:space="0"/>
              <w:bottom w:val="nil"/>
              <w:right w:val="single" w:color="000000" w:sz="4" w:space="0"/>
            </w:tcBorders>
            <w:vAlign w:val="center"/>
            <w:hideMark/>
          </w:tcPr>
          <w:p w:rsidRPr="002D42DC" w:rsidR="002D42DC" w:rsidP="00D97D31" w:rsidRDefault="002D42DC" w14:paraId="6E44E4C7" w14:textId="77777777">
            <w:pPr>
              <w:suppressAutoHyphens w:val="0"/>
              <w:spacing w:after="0"/>
              <w:rPr>
                <w:rFonts w:ascii="Calibri" w:hAnsi="Calibri" w:eastAsia="Times New Roman" w:cs="Calibri"/>
                <w:color w:val="000000"/>
                <w:sz w:val="16"/>
                <w:szCs w:val="16"/>
                <w:lang w:eastAsia="es-CO"/>
              </w:rPr>
            </w:pPr>
          </w:p>
        </w:tc>
        <w:tc>
          <w:tcPr>
            <w:tcW w:w="1400" w:type="dxa"/>
            <w:tcBorders>
              <w:top w:val="single" w:color="000000" w:sz="4" w:space="0"/>
              <w:left w:val="single" w:color="000000" w:sz="4" w:space="0"/>
              <w:bottom w:val="single" w:color="000000" w:sz="4" w:space="0"/>
              <w:right w:val="single" w:color="auto" w:sz="12" w:space="0"/>
            </w:tcBorders>
            <w:noWrap/>
            <w:vAlign w:val="center"/>
            <w:hideMark/>
          </w:tcPr>
          <w:p w:rsidRPr="004131E4" w:rsidR="002D42DC" w:rsidP="00D97D31" w:rsidRDefault="002D42DC" w14:paraId="6409A332" w14:textId="77777777">
            <w:pPr>
              <w:suppressAutoHyphens w:val="0"/>
              <w:spacing w:after="0"/>
              <w:rPr>
                <w:rFonts w:ascii="Calibri" w:hAnsi="Calibri" w:eastAsia="Times New Roman" w:cs="Calibri"/>
                <w:color w:val="000000"/>
                <w:sz w:val="16"/>
                <w:szCs w:val="16"/>
                <w:highlight w:val="yellow"/>
                <w:lang w:eastAsia="es-CO"/>
              </w:rPr>
            </w:pPr>
            <w:r w:rsidRPr="004131E4">
              <w:rPr>
                <w:rFonts w:ascii="Calibri" w:hAnsi="Calibri" w:eastAsia="Times New Roman" w:cs="Calibri"/>
                <w:color w:val="000000"/>
                <w:sz w:val="16"/>
                <w:szCs w:val="16"/>
                <w:highlight w:val="yellow"/>
                <w:lang w:eastAsia="es-CO"/>
              </w:rPr>
              <w:t>$ 440,000,000</w:t>
            </w:r>
          </w:p>
        </w:tc>
      </w:tr>
      <w:tr w:rsidRPr="002D42DC" w:rsidR="002D42DC" w:rsidTr="00D877D0" w14:paraId="25B1DAAF" w14:textId="77777777">
        <w:trPr>
          <w:trHeight w:val="990"/>
        </w:trPr>
        <w:tc>
          <w:tcPr>
            <w:tcW w:w="851" w:type="dxa"/>
            <w:vMerge/>
            <w:tcBorders>
              <w:top w:val="single" w:color="000000" w:sz="4" w:space="0"/>
              <w:left w:val="single" w:color="auto" w:sz="12" w:space="0"/>
              <w:bottom w:val="single" w:color="auto" w:sz="12" w:space="0"/>
              <w:right w:val="single" w:color="000000" w:sz="4" w:space="0"/>
            </w:tcBorders>
            <w:vAlign w:val="center"/>
            <w:hideMark/>
          </w:tcPr>
          <w:p w:rsidRPr="002D42DC" w:rsidR="002D42DC" w:rsidP="00D97D31" w:rsidRDefault="002D42DC" w14:paraId="40FDB645" w14:textId="77777777">
            <w:pPr>
              <w:suppressAutoHyphens w:val="0"/>
              <w:spacing w:after="0"/>
              <w:rPr>
                <w:rFonts w:ascii="Calibri" w:hAnsi="Calibri" w:eastAsia="Times New Roman" w:cs="Calibri"/>
                <w:color w:val="000000"/>
                <w:sz w:val="16"/>
                <w:szCs w:val="16"/>
                <w:lang w:eastAsia="es-CO"/>
              </w:rPr>
            </w:pPr>
          </w:p>
        </w:tc>
        <w:tc>
          <w:tcPr>
            <w:tcW w:w="1418" w:type="dxa"/>
            <w:vMerge/>
            <w:tcBorders>
              <w:top w:val="single" w:color="000000" w:sz="4" w:space="0"/>
              <w:left w:val="single" w:color="000000" w:sz="4" w:space="0"/>
              <w:bottom w:val="single" w:color="auto" w:sz="12" w:space="0"/>
              <w:right w:val="single" w:color="000000" w:sz="4" w:space="0"/>
            </w:tcBorders>
            <w:vAlign w:val="center"/>
            <w:hideMark/>
          </w:tcPr>
          <w:p w:rsidRPr="002D42DC" w:rsidR="002D42DC" w:rsidP="00D97D31" w:rsidRDefault="002D42DC" w14:paraId="6046550C" w14:textId="77777777">
            <w:pPr>
              <w:suppressAutoHyphens w:val="0"/>
              <w:spacing w:after="0"/>
              <w:rPr>
                <w:rFonts w:ascii="Calibri" w:hAnsi="Calibri" w:eastAsia="Times New Roman" w:cs="Calibri"/>
                <w:color w:val="000000"/>
                <w:sz w:val="16"/>
                <w:szCs w:val="16"/>
                <w:lang w:eastAsia="es-CO"/>
              </w:rPr>
            </w:pPr>
          </w:p>
        </w:tc>
        <w:tc>
          <w:tcPr>
            <w:tcW w:w="1134" w:type="dxa"/>
            <w:vMerge/>
            <w:tcBorders>
              <w:top w:val="nil"/>
              <w:left w:val="single" w:color="000000" w:sz="4" w:space="0"/>
              <w:bottom w:val="single" w:color="auto" w:sz="12" w:space="0"/>
              <w:right w:val="single" w:color="000000" w:sz="4" w:space="0"/>
            </w:tcBorders>
            <w:vAlign w:val="center"/>
            <w:hideMark/>
          </w:tcPr>
          <w:p w:rsidRPr="002D42DC" w:rsidR="002D42DC" w:rsidP="00D97D31" w:rsidRDefault="002D42DC" w14:paraId="0539A15A" w14:textId="77777777">
            <w:pPr>
              <w:suppressAutoHyphens w:val="0"/>
              <w:spacing w:after="0"/>
              <w:rPr>
                <w:rFonts w:ascii="Calibri" w:hAnsi="Calibri" w:eastAsia="Times New Roman" w:cs="Calibri"/>
                <w:color w:val="000000"/>
                <w:sz w:val="16"/>
                <w:szCs w:val="16"/>
                <w:lang w:eastAsia="es-CO"/>
              </w:rPr>
            </w:pPr>
          </w:p>
        </w:tc>
        <w:tc>
          <w:tcPr>
            <w:tcW w:w="980" w:type="dxa"/>
            <w:vMerge/>
            <w:tcBorders>
              <w:top w:val="single" w:color="000000" w:sz="4" w:space="0"/>
              <w:left w:val="single" w:color="000000" w:sz="4" w:space="0"/>
              <w:bottom w:val="single" w:color="auto" w:sz="12" w:space="0"/>
              <w:right w:val="single" w:color="000000" w:sz="4" w:space="0"/>
            </w:tcBorders>
            <w:vAlign w:val="center"/>
            <w:hideMark/>
          </w:tcPr>
          <w:p w:rsidRPr="002D42DC" w:rsidR="002D42DC" w:rsidP="00D97D31" w:rsidRDefault="002D42DC" w14:paraId="0EEFB411" w14:textId="77777777">
            <w:pPr>
              <w:suppressAutoHyphens w:val="0"/>
              <w:spacing w:after="0"/>
              <w:rPr>
                <w:rFonts w:ascii="Calibri" w:hAnsi="Calibri" w:eastAsia="Times New Roman" w:cs="Calibri"/>
                <w:color w:val="000000"/>
                <w:sz w:val="16"/>
                <w:szCs w:val="16"/>
                <w:lang w:eastAsia="es-CO"/>
              </w:rPr>
            </w:pPr>
          </w:p>
        </w:tc>
        <w:tc>
          <w:tcPr>
            <w:tcW w:w="980" w:type="dxa"/>
            <w:vMerge/>
            <w:tcBorders>
              <w:top w:val="single" w:color="000000" w:sz="4" w:space="0"/>
              <w:left w:val="single" w:color="000000" w:sz="4" w:space="0"/>
              <w:bottom w:val="single" w:color="auto" w:sz="12" w:space="0"/>
              <w:right w:val="single" w:color="000000" w:sz="4" w:space="0"/>
            </w:tcBorders>
            <w:vAlign w:val="center"/>
            <w:hideMark/>
          </w:tcPr>
          <w:p w:rsidRPr="002D42DC" w:rsidR="002D42DC" w:rsidP="00D97D31" w:rsidRDefault="002D42DC" w14:paraId="1CDBB6C3" w14:textId="77777777">
            <w:pPr>
              <w:suppressAutoHyphens w:val="0"/>
              <w:spacing w:after="0"/>
              <w:rPr>
                <w:rFonts w:ascii="Calibri" w:hAnsi="Calibri" w:eastAsia="Times New Roman" w:cs="Calibri"/>
                <w:color w:val="000000"/>
                <w:sz w:val="16"/>
                <w:szCs w:val="16"/>
                <w:lang w:eastAsia="es-CO"/>
              </w:rPr>
            </w:pPr>
          </w:p>
        </w:tc>
        <w:tc>
          <w:tcPr>
            <w:tcW w:w="1570" w:type="dxa"/>
            <w:tcBorders>
              <w:top w:val="single" w:color="000000" w:sz="4" w:space="0"/>
              <w:left w:val="single" w:color="000000" w:sz="4" w:space="0"/>
              <w:bottom w:val="single" w:color="auto" w:sz="12" w:space="0"/>
              <w:right w:val="single" w:color="000000" w:sz="4" w:space="0"/>
            </w:tcBorders>
            <w:vAlign w:val="center"/>
            <w:hideMark/>
          </w:tcPr>
          <w:p w:rsidRPr="002D42DC" w:rsidR="002D42DC" w:rsidP="00D97D31" w:rsidRDefault="002D42DC" w14:paraId="33FF0E5D" w14:textId="77777777">
            <w:pPr>
              <w:suppressAutoHyphens w:val="0"/>
              <w:spacing w:after="0"/>
              <w:rPr>
                <w:rFonts w:ascii="Calibri" w:hAnsi="Calibri" w:eastAsia="Times New Roman" w:cs="Calibri"/>
                <w:color w:val="000000"/>
                <w:sz w:val="16"/>
                <w:szCs w:val="16"/>
                <w:lang w:eastAsia="es-CO"/>
              </w:rPr>
            </w:pPr>
            <w:r w:rsidRPr="002D42DC">
              <w:rPr>
                <w:rFonts w:ascii="Calibri" w:hAnsi="Calibri" w:eastAsia="Times New Roman" w:cs="Calibri"/>
                <w:color w:val="000000"/>
                <w:sz w:val="16"/>
                <w:szCs w:val="16"/>
                <w:lang w:eastAsia="es-CO"/>
              </w:rPr>
              <w:t>1.1.4 Realizar seguimiento a la ejecución de los proyectos</w:t>
            </w:r>
          </w:p>
        </w:tc>
        <w:tc>
          <w:tcPr>
            <w:tcW w:w="960" w:type="dxa"/>
            <w:tcBorders>
              <w:top w:val="single" w:color="000000" w:sz="4" w:space="0"/>
              <w:left w:val="single" w:color="000000" w:sz="4" w:space="0"/>
              <w:bottom w:val="single" w:color="auto" w:sz="12" w:space="0"/>
              <w:right w:val="single" w:color="000000" w:sz="4" w:space="0"/>
            </w:tcBorders>
            <w:noWrap/>
            <w:vAlign w:val="center"/>
            <w:hideMark/>
          </w:tcPr>
          <w:p w:rsidRPr="002D42DC" w:rsidR="002D42DC" w:rsidP="00D97D31" w:rsidRDefault="002D42DC" w14:paraId="5AD6D01D" w14:textId="77777777">
            <w:pPr>
              <w:suppressAutoHyphens w:val="0"/>
              <w:spacing w:after="0"/>
              <w:rPr>
                <w:rFonts w:ascii="Calibri" w:hAnsi="Calibri" w:eastAsia="Times New Roman" w:cs="Calibri"/>
                <w:color w:val="000000"/>
                <w:sz w:val="16"/>
                <w:szCs w:val="16"/>
                <w:lang w:eastAsia="es-CO"/>
              </w:rPr>
            </w:pPr>
            <w:r w:rsidRPr="002D42DC">
              <w:rPr>
                <w:rFonts w:ascii="Calibri" w:hAnsi="Calibri" w:eastAsia="Times New Roman" w:cs="Calibri"/>
                <w:color w:val="000000"/>
                <w:sz w:val="16"/>
                <w:szCs w:val="16"/>
                <w:lang w:eastAsia="es-CO"/>
              </w:rPr>
              <w:t>Inversión</w:t>
            </w:r>
          </w:p>
        </w:tc>
        <w:tc>
          <w:tcPr>
            <w:tcW w:w="960" w:type="dxa"/>
            <w:tcBorders>
              <w:top w:val="single" w:color="000000" w:sz="4" w:space="0"/>
              <w:left w:val="single" w:color="000000" w:sz="4" w:space="0"/>
              <w:bottom w:val="single" w:color="auto" w:sz="12" w:space="0"/>
              <w:right w:val="single" w:color="000000" w:sz="4" w:space="0"/>
            </w:tcBorders>
            <w:noWrap/>
            <w:vAlign w:val="center"/>
            <w:hideMark/>
          </w:tcPr>
          <w:p w:rsidRPr="002D42DC" w:rsidR="002D42DC" w:rsidP="00D97D31" w:rsidRDefault="002D42DC" w14:paraId="7DFAC990" w14:textId="77777777">
            <w:pPr>
              <w:suppressAutoHyphens w:val="0"/>
              <w:spacing w:after="0"/>
              <w:jc w:val="center"/>
              <w:rPr>
                <w:rFonts w:ascii="Calibri" w:hAnsi="Calibri" w:eastAsia="Times New Roman" w:cs="Calibri"/>
                <w:color w:val="000000"/>
                <w:sz w:val="16"/>
                <w:szCs w:val="16"/>
                <w:lang w:eastAsia="es-CO"/>
              </w:rPr>
            </w:pPr>
            <w:r w:rsidRPr="002D42DC">
              <w:rPr>
                <w:rFonts w:ascii="Calibri" w:hAnsi="Calibri" w:eastAsia="Times New Roman" w:cs="Calibri"/>
                <w:color w:val="000000"/>
                <w:sz w:val="16"/>
                <w:szCs w:val="16"/>
                <w:lang w:eastAsia="es-CO"/>
              </w:rPr>
              <w:t>No</w:t>
            </w:r>
          </w:p>
        </w:tc>
        <w:tc>
          <w:tcPr>
            <w:tcW w:w="1354" w:type="dxa"/>
            <w:vMerge/>
            <w:tcBorders>
              <w:top w:val="single" w:color="000000" w:sz="4" w:space="0"/>
              <w:left w:val="single" w:color="000000" w:sz="4" w:space="0"/>
              <w:bottom w:val="single" w:color="auto" w:sz="12" w:space="0"/>
              <w:right w:val="single" w:color="000000" w:sz="4" w:space="0"/>
            </w:tcBorders>
            <w:vAlign w:val="center"/>
            <w:hideMark/>
          </w:tcPr>
          <w:p w:rsidRPr="002D42DC" w:rsidR="002D42DC" w:rsidP="00D97D31" w:rsidRDefault="002D42DC" w14:paraId="1913A222" w14:textId="77777777">
            <w:pPr>
              <w:suppressAutoHyphens w:val="0"/>
              <w:spacing w:after="0"/>
              <w:rPr>
                <w:rFonts w:ascii="Calibri" w:hAnsi="Calibri" w:eastAsia="Times New Roman" w:cs="Calibri"/>
                <w:color w:val="000000"/>
                <w:sz w:val="16"/>
                <w:szCs w:val="16"/>
                <w:lang w:eastAsia="es-CO"/>
              </w:rPr>
            </w:pPr>
          </w:p>
        </w:tc>
        <w:tc>
          <w:tcPr>
            <w:tcW w:w="1400" w:type="dxa"/>
            <w:tcBorders>
              <w:top w:val="single" w:color="000000" w:sz="4" w:space="0"/>
              <w:left w:val="single" w:color="000000" w:sz="4" w:space="0"/>
              <w:bottom w:val="single" w:color="auto" w:sz="12" w:space="0"/>
              <w:right w:val="single" w:color="auto" w:sz="12" w:space="0"/>
            </w:tcBorders>
            <w:noWrap/>
            <w:vAlign w:val="center"/>
            <w:hideMark/>
          </w:tcPr>
          <w:p w:rsidRPr="00D877D0" w:rsidR="002D42DC" w:rsidP="00D97D31" w:rsidRDefault="002D42DC" w14:paraId="213FBFE8" w14:textId="77777777">
            <w:pPr>
              <w:suppressAutoHyphens w:val="0"/>
              <w:spacing w:after="0"/>
              <w:rPr>
                <w:rFonts w:ascii="Calibri" w:hAnsi="Calibri" w:eastAsia="Times New Roman" w:cs="Calibri"/>
                <w:color w:val="000000"/>
                <w:sz w:val="16"/>
                <w:szCs w:val="16"/>
                <w:highlight w:val="yellow"/>
                <w:lang w:eastAsia="es-CO"/>
              </w:rPr>
            </w:pPr>
            <w:r w:rsidRPr="00D877D0">
              <w:rPr>
                <w:rFonts w:ascii="Calibri" w:hAnsi="Calibri" w:eastAsia="Times New Roman" w:cs="Calibri"/>
                <w:color w:val="000000"/>
                <w:sz w:val="16"/>
                <w:szCs w:val="16"/>
                <w:highlight w:val="yellow"/>
                <w:lang w:eastAsia="es-CO"/>
              </w:rPr>
              <w:t>$ 4,400,000,000</w:t>
            </w:r>
          </w:p>
        </w:tc>
      </w:tr>
    </w:tbl>
    <w:p w:rsidR="00D877D0" w:rsidP="00D97D31" w:rsidRDefault="00D877D0" w14:paraId="45147A88" w14:textId="77777777">
      <w:pPr>
        <w:spacing w:after="0"/>
        <w:ind w:left="-426"/>
        <w:jc w:val="center"/>
        <w:rPr>
          <w:rFonts w:ascii="Calibri" w:hAnsi="Calibri" w:cs="Calibri"/>
        </w:rPr>
      </w:pPr>
      <w:r w:rsidRPr="009D13BA">
        <w:rPr>
          <w:b/>
          <w:bCs/>
          <w:i/>
          <w:iCs/>
          <w:sz w:val="18"/>
          <w:szCs w:val="18"/>
        </w:rPr>
        <w:t xml:space="preserve">Fuente: </w:t>
      </w:r>
      <w:r w:rsidRPr="009D13BA">
        <w:rPr>
          <w:sz w:val="18"/>
          <w:szCs w:val="18"/>
        </w:rPr>
        <w:t xml:space="preserve">PIIP – Meta de los proyectos de inversión </w:t>
      </w:r>
      <w:proofErr w:type="spellStart"/>
      <w:r w:rsidRPr="009D13BA">
        <w:rPr>
          <w:sz w:val="18"/>
          <w:szCs w:val="18"/>
        </w:rPr>
        <w:t>contracreditos</w:t>
      </w:r>
      <w:proofErr w:type="spellEnd"/>
    </w:p>
    <w:p w:rsidR="00495AFE" w:rsidP="00D97D31" w:rsidRDefault="00495AFE" w14:paraId="7ADB2A01" w14:textId="271B9A84">
      <w:pPr>
        <w:spacing w:beforeAutospacing="1" w:afterAutospacing="1"/>
        <w:jc w:val="both"/>
      </w:pPr>
      <w:r>
        <w:t xml:space="preserve">Conforme a lo dispuesto en las Tablas 2 y </w:t>
      </w:r>
      <w:r w:rsidR="00C9506A">
        <w:t>7</w:t>
      </w:r>
      <w:r>
        <w:t xml:space="preserve"> para el fondo FA</w:t>
      </w:r>
      <w:r w:rsidR="00C9506A">
        <w:t>ER</w:t>
      </w:r>
      <w:r>
        <w:t xml:space="preserve"> se tiene una apropiación vigente de $2</w:t>
      </w:r>
      <w:r w:rsidR="00913C2A">
        <w:t>0</w:t>
      </w:r>
      <w:r>
        <w:t>0 mil millones los cuales se encuentran distribuidos en las actividades de financiación de proyectos para construcción de nueva infraestructura por un valor de $</w:t>
      </w:r>
      <w:r w:rsidR="00A21B2A">
        <w:t>195</w:t>
      </w:r>
      <w:r>
        <w:t xml:space="preserve"> mil millones, $</w:t>
      </w:r>
      <w:r w:rsidR="009D5433">
        <w:t>440</w:t>
      </w:r>
      <w:r>
        <w:t xml:space="preserve"> millones para </w:t>
      </w:r>
      <w:r w:rsidR="009D5433">
        <w:t>capacitaciones</w:t>
      </w:r>
      <w:r>
        <w:t xml:space="preserve"> y por </w:t>
      </w:r>
      <w:proofErr w:type="gramStart"/>
      <w:r>
        <w:t>ultimo</w:t>
      </w:r>
      <w:proofErr w:type="gramEnd"/>
      <w:r>
        <w:t xml:space="preserve"> $</w:t>
      </w:r>
      <w:r w:rsidR="00A21B2A">
        <w:t>4,4</w:t>
      </w:r>
      <w:r>
        <w:t xml:space="preserve"> mil millones para el seguimiento a la ejecución de los proyectos.</w:t>
      </w:r>
    </w:p>
    <w:p w:rsidRPr="003954B9" w:rsidR="00124EDC" w:rsidP="00D97D31" w:rsidRDefault="00124EDC" w14:paraId="0FC7420F" w14:textId="371A1A0F">
      <w:pPr>
        <w:spacing w:after="0"/>
        <w:jc w:val="center"/>
        <w:rPr>
          <w:rFonts w:ascii="Calibri" w:hAnsi="Calibri" w:cs="Calibri"/>
          <w:b/>
        </w:rPr>
      </w:pPr>
      <w:r w:rsidRPr="003954B9">
        <w:rPr>
          <w:rFonts w:ascii="Calibri" w:hAnsi="Calibri" w:cs="Calibri"/>
          <w:b/>
        </w:rPr>
        <w:t xml:space="preserve">Tabla </w:t>
      </w:r>
      <w:r w:rsidRPr="003954B9" w:rsidR="003954B9">
        <w:rPr>
          <w:rFonts w:ascii="Calibri" w:hAnsi="Calibri" w:cs="Calibri"/>
          <w:b/>
        </w:rPr>
        <w:t>8</w:t>
      </w:r>
      <w:r w:rsidRPr="003954B9">
        <w:rPr>
          <w:rFonts w:ascii="Calibri" w:hAnsi="Calibri" w:cs="Calibri"/>
          <w:b/>
        </w:rPr>
        <w:t>. Metas de 2026 de</w:t>
      </w:r>
      <w:r w:rsidRPr="003954B9" w:rsidR="003954B9">
        <w:rPr>
          <w:rFonts w:ascii="Calibri" w:hAnsi="Calibri" w:cs="Calibri"/>
          <w:b/>
        </w:rPr>
        <w:t>l</w:t>
      </w:r>
      <w:r w:rsidRPr="003954B9">
        <w:rPr>
          <w:rFonts w:ascii="Calibri" w:hAnsi="Calibri" w:cs="Calibri"/>
          <w:b/>
        </w:rPr>
        <w:t xml:space="preserve"> proyecto de inversión BPIN 2018011001048 </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6A0" w:firstRow="1" w:lastRow="0" w:firstColumn="1" w:lastColumn="0" w:noHBand="1" w:noVBand="1"/>
      </w:tblPr>
      <w:tblGrid>
        <w:gridCol w:w="4531"/>
        <w:gridCol w:w="3686"/>
        <w:gridCol w:w="1173"/>
      </w:tblGrid>
      <w:tr w:rsidR="00124EDC" w:rsidTr="009B3E82" w14:paraId="77A25881" w14:textId="77777777">
        <w:trPr>
          <w:trHeight w:val="300"/>
        </w:trPr>
        <w:tc>
          <w:tcPr>
            <w:tcW w:w="4531" w:type="dxa"/>
            <w:shd w:val="clear" w:color="auto" w:fill="D9E2F3" w:themeFill="accent1" w:themeFillTint="33"/>
            <w:vAlign w:val="center"/>
          </w:tcPr>
          <w:p w:rsidRPr="003954B9" w:rsidR="00124EDC" w:rsidP="00D97D31" w:rsidRDefault="00124EDC" w14:paraId="6A3DF46A" w14:textId="77777777">
            <w:pPr>
              <w:spacing w:after="0"/>
              <w:jc w:val="center"/>
              <w:rPr>
                <w:b/>
                <w:bCs/>
              </w:rPr>
            </w:pPr>
            <w:r w:rsidRPr="003954B9">
              <w:rPr>
                <w:b/>
                <w:bCs/>
              </w:rPr>
              <w:t>Proyecto de inversión</w:t>
            </w:r>
          </w:p>
        </w:tc>
        <w:tc>
          <w:tcPr>
            <w:tcW w:w="3686" w:type="dxa"/>
            <w:shd w:val="clear" w:color="auto" w:fill="D9E2F3" w:themeFill="accent1" w:themeFillTint="33"/>
            <w:vAlign w:val="center"/>
          </w:tcPr>
          <w:p w:rsidRPr="003954B9" w:rsidR="00124EDC" w:rsidP="00D97D31" w:rsidRDefault="00124EDC" w14:paraId="65D684D6" w14:textId="77777777">
            <w:pPr>
              <w:spacing w:after="0"/>
              <w:jc w:val="center"/>
              <w:rPr>
                <w:b/>
                <w:bCs/>
              </w:rPr>
            </w:pPr>
            <w:r w:rsidRPr="003954B9">
              <w:rPr>
                <w:b/>
                <w:bCs/>
              </w:rPr>
              <w:t>Indicador</w:t>
            </w:r>
          </w:p>
        </w:tc>
        <w:tc>
          <w:tcPr>
            <w:tcW w:w="1173" w:type="dxa"/>
            <w:shd w:val="clear" w:color="auto" w:fill="D9E2F3" w:themeFill="accent1" w:themeFillTint="33"/>
            <w:vAlign w:val="center"/>
          </w:tcPr>
          <w:p w:rsidRPr="003954B9" w:rsidR="00124EDC" w:rsidP="00D97D31" w:rsidRDefault="00124EDC" w14:paraId="71B2E905" w14:textId="77777777">
            <w:pPr>
              <w:spacing w:after="0"/>
              <w:jc w:val="center"/>
              <w:rPr>
                <w:b/>
                <w:bCs/>
              </w:rPr>
            </w:pPr>
            <w:r w:rsidRPr="003954B9">
              <w:rPr>
                <w:b/>
                <w:bCs/>
              </w:rPr>
              <w:t>Meta 2026</w:t>
            </w:r>
          </w:p>
        </w:tc>
      </w:tr>
      <w:tr w:rsidR="00124EDC" w:rsidTr="009B3E82" w14:paraId="6CA76D99" w14:textId="77777777">
        <w:trPr>
          <w:trHeight w:val="300"/>
        </w:trPr>
        <w:tc>
          <w:tcPr>
            <w:tcW w:w="4531" w:type="dxa"/>
            <w:vMerge w:val="restart"/>
          </w:tcPr>
          <w:p w:rsidRPr="003954B9" w:rsidR="00124EDC" w:rsidP="00D97D31" w:rsidRDefault="00124EDC" w14:paraId="29B01AE0" w14:textId="77777777">
            <w:pPr>
              <w:spacing w:after="0"/>
            </w:pPr>
            <w:r w:rsidRPr="003954B9">
              <w:rPr>
                <w:rFonts w:ascii="Calibri" w:hAnsi="Calibri" w:eastAsia="Calibri" w:cs="Calibri"/>
              </w:rPr>
              <w:t>Mejoramiento del servicio de energía eléctrica en las zonas rurales del territorio nacional</w:t>
            </w:r>
          </w:p>
          <w:p w:rsidRPr="003954B9" w:rsidR="00124EDC" w:rsidP="00D97D31" w:rsidRDefault="00124EDC" w14:paraId="6403D156" w14:textId="77777777">
            <w:pPr>
              <w:spacing w:after="0"/>
            </w:pPr>
            <w:r w:rsidRPr="003954B9">
              <w:t>FAER</w:t>
            </w:r>
          </w:p>
        </w:tc>
        <w:tc>
          <w:tcPr>
            <w:tcW w:w="3686" w:type="dxa"/>
          </w:tcPr>
          <w:p w:rsidRPr="003954B9" w:rsidR="00124EDC" w:rsidP="00D97D31" w:rsidRDefault="00124EDC" w14:paraId="0182BD28" w14:textId="77777777">
            <w:pPr>
              <w:spacing w:after="0"/>
            </w:pPr>
            <w:r w:rsidRPr="003954B9">
              <w:t>Usuarios beneficiados con la ampliación de cobertura</w:t>
            </w:r>
          </w:p>
        </w:tc>
        <w:tc>
          <w:tcPr>
            <w:tcW w:w="1173" w:type="dxa"/>
          </w:tcPr>
          <w:p w:rsidRPr="003954B9" w:rsidR="00124EDC" w:rsidP="00D97D31" w:rsidRDefault="00124EDC" w14:paraId="0F9F485A" w14:textId="77777777">
            <w:pPr>
              <w:spacing w:after="0"/>
              <w:jc w:val="center"/>
            </w:pPr>
            <w:r w:rsidRPr="003954B9">
              <w:t>11.882</w:t>
            </w:r>
          </w:p>
        </w:tc>
      </w:tr>
      <w:tr w:rsidR="00124EDC" w:rsidTr="009B3E82" w14:paraId="3E05C618" w14:textId="77777777">
        <w:trPr>
          <w:trHeight w:val="300"/>
        </w:trPr>
        <w:tc>
          <w:tcPr>
            <w:tcW w:w="4531" w:type="dxa"/>
            <w:vMerge/>
            <w:vAlign w:val="center"/>
          </w:tcPr>
          <w:p w:rsidRPr="003954B9" w:rsidR="00124EDC" w:rsidP="00D97D31" w:rsidRDefault="00124EDC" w14:paraId="6E24882B" w14:textId="77777777">
            <w:pPr>
              <w:spacing w:after="0"/>
            </w:pPr>
          </w:p>
        </w:tc>
        <w:tc>
          <w:tcPr>
            <w:tcW w:w="3686" w:type="dxa"/>
          </w:tcPr>
          <w:p w:rsidRPr="003954B9" w:rsidR="00124EDC" w:rsidP="00D97D31" w:rsidRDefault="00124EDC" w14:paraId="0A88CC57" w14:textId="77777777">
            <w:pPr>
              <w:spacing w:after="0"/>
            </w:pPr>
            <w:r w:rsidRPr="003954B9">
              <w:t>Usuarios beneficiados con del mejoramiento de la infraestructura eléctrica</w:t>
            </w:r>
          </w:p>
        </w:tc>
        <w:tc>
          <w:tcPr>
            <w:tcW w:w="1173" w:type="dxa"/>
          </w:tcPr>
          <w:p w:rsidRPr="003954B9" w:rsidR="00124EDC" w:rsidP="00D97D31" w:rsidRDefault="00124EDC" w14:paraId="3D13DCAE" w14:textId="77777777">
            <w:pPr>
              <w:spacing w:after="0"/>
              <w:jc w:val="center"/>
            </w:pPr>
            <w:r w:rsidRPr="003954B9">
              <w:t>26.373</w:t>
            </w:r>
          </w:p>
        </w:tc>
      </w:tr>
    </w:tbl>
    <w:p w:rsidRPr="0069700B" w:rsidR="00124EDC" w:rsidP="00D97D31" w:rsidRDefault="00124EDC" w14:paraId="053B43F4" w14:textId="77777777">
      <w:pPr>
        <w:spacing w:after="0"/>
        <w:ind w:left="-426"/>
        <w:jc w:val="center"/>
        <w:rPr>
          <w:rFonts w:ascii="Calibri" w:hAnsi="Calibri" w:cs="Calibri"/>
        </w:rPr>
      </w:pPr>
      <w:r w:rsidRPr="0069700B">
        <w:rPr>
          <w:b/>
          <w:i/>
          <w:sz w:val="18"/>
          <w:szCs w:val="18"/>
        </w:rPr>
        <w:t xml:space="preserve">Fuente: </w:t>
      </w:r>
      <w:r w:rsidRPr="0069700B">
        <w:rPr>
          <w:sz w:val="18"/>
          <w:szCs w:val="18"/>
        </w:rPr>
        <w:t xml:space="preserve">PIIP – Meta de los proyectos de inversión </w:t>
      </w:r>
      <w:proofErr w:type="spellStart"/>
      <w:r w:rsidRPr="0069700B">
        <w:rPr>
          <w:sz w:val="18"/>
          <w:szCs w:val="18"/>
        </w:rPr>
        <w:t>contracreditos</w:t>
      </w:r>
      <w:proofErr w:type="spellEnd"/>
    </w:p>
    <w:p w:rsidR="004A40C7" w:rsidP="00D97D31" w:rsidRDefault="00AC1C99" w14:paraId="179845FB" w14:textId="05321CDA">
      <w:pPr>
        <w:spacing w:beforeAutospacing="1" w:afterAutospacing="1"/>
        <w:jc w:val="both"/>
      </w:pPr>
      <w:r>
        <w:t xml:space="preserve">Conforme a la </w:t>
      </w:r>
      <w:r w:rsidRPr="00B11232">
        <w:rPr>
          <w:b/>
          <w:bCs/>
        </w:rPr>
        <w:t xml:space="preserve">Tabla </w:t>
      </w:r>
      <w:r>
        <w:rPr>
          <w:b/>
          <w:bCs/>
        </w:rPr>
        <w:t>8</w:t>
      </w:r>
      <w:r w:rsidRPr="00B11232">
        <w:rPr>
          <w:b/>
          <w:bCs/>
        </w:rPr>
        <w:t xml:space="preserve">, </w:t>
      </w:r>
      <w:r>
        <w:t xml:space="preserve">la meta correspondiente al proyecto de inversión BPIN </w:t>
      </w:r>
      <w:r w:rsidRPr="00AC1C99">
        <w:rPr>
          <w:rFonts w:ascii="Calibri" w:hAnsi="Calibri" w:cs="Calibri"/>
          <w:bCs/>
        </w:rPr>
        <w:t>2018011001048</w:t>
      </w:r>
      <w:r>
        <w:t xml:space="preserve"> es de 11.882 usuarios beneficiados con la ampliación de cobertura y 26.373 u</w:t>
      </w:r>
      <w:r w:rsidRPr="003954B9">
        <w:t xml:space="preserve">suarios beneficiados con del mejoramiento de la infraestructura </w:t>
      </w:r>
      <w:r w:rsidRPr="003954B9" w:rsidR="00166254">
        <w:t>eléctrica</w:t>
      </w:r>
      <w:r w:rsidR="00166254">
        <w:t>.</w:t>
      </w:r>
      <w:r>
        <w:t xml:space="preserve"> Sin embargo, conforme a los 9 contratos suscritos por el Ministerio de Minas y Energía y financiados a través del FA</w:t>
      </w:r>
      <w:r w:rsidR="00513CD4">
        <w:t>ER</w:t>
      </w:r>
      <w:r>
        <w:t xml:space="preserve"> que actualmente se encuentran vigentes, se logrará beneficiar para la vigencia 2026 un total de </w:t>
      </w:r>
      <w:r w:rsidR="00265567">
        <w:t>33.603</w:t>
      </w:r>
      <w:r w:rsidRPr="003E1867">
        <w:t xml:space="preserve"> usuarios</w:t>
      </w:r>
      <w:r w:rsidR="00265567">
        <w:t xml:space="preserve"> nuevos</w:t>
      </w:r>
      <w:r>
        <w:t xml:space="preserve"> e</w:t>
      </w:r>
      <w:r w:rsidR="00265567">
        <w:t>n</w:t>
      </w:r>
      <w:r>
        <w:t xml:space="preserve"> </w:t>
      </w:r>
      <w:r w:rsidR="004F10B0">
        <w:t>8</w:t>
      </w:r>
      <w:r>
        <w:t xml:space="preserve"> departamentos del territorio nacional por un rubro de  $ </w:t>
      </w:r>
      <w:r w:rsidR="004F10B0">
        <w:t>109.729.600.102</w:t>
      </w:r>
      <w:r w:rsidR="000B2ACE">
        <w:t xml:space="preserve"> y </w:t>
      </w:r>
      <w:r w:rsidR="00F00247">
        <w:t>2</w:t>
      </w:r>
      <w:r w:rsidR="00140405">
        <w:t xml:space="preserve">6.373 usuarios de mejoramiento </w:t>
      </w:r>
      <w:r w:rsidR="0065541C">
        <w:t xml:space="preserve">en dos departamentos </w:t>
      </w:r>
      <w:r w:rsidR="0097670B">
        <w:t>por un rubro</w:t>
      </w:r>
      <w:r w:rsidR="007137CF">
        <w:t xml:space="preserve"> $48.558</w:t>
      </w:r>
      <w:r w:rsidR="005C769E">
        <w:t>.317.780.</w:t>
      </w:r>
      <w:r w:rsidR="009425CC">
        <w:t xml:space="preserve"> </w:t>
      </w:r>
      <w:r w:rsidRPr="00972D7E" w:rsidR="00544C1D">
        <w:rPr>
          <w:highlight w:val="yellow"/>
        </w:rPr>
        <w:t>Est</w:t>
      </w:r>
      <w:r w:rsidR="00544C1D">
        <w:rPr>
          <w:highlight w:val="yellow"/>
        </w:rPr>
        <w:t>os</w:t>
      </w:r>
      <w:r w:rsidRPr="00972D7E" w:rsidR="00544C1D">
        <w:rPr>
          <w:highlight w:val="yellow"/>
        </w:rPr>
        <w:t xml:space="preserve"> </w:t>
      </w:r>
      <w:r w:rsidR="00544C1D">
        <w:rPr>
          <w:highlight w:val="yellow"/>
        </w:rPr>
        <w:t>son</w:t>
      </w:r>
      <w:r w:rsidRPr="00972D7E" w:rsidR="00544C1D">
        <w:rPr>
          <w:highlight w:val="yellow"/>
        </w:rPr>
        <w:t xml:space="preserve"> comprom</w:t>
      </w:r>
      <w:r w:rsidR="00B87FD2">
        <w:rPr>
          <w:highlight w:val="yellow"/>
        </w:rPr>
        <w:t>isos</w:t>
      </w:r>
      <w:r w:rsidRPr="00972D7E" w:rsidR="00544C1D">
        <w:rPr>
          <w:highlight w:val="yellow"/>
        </w:rPr>
        <w:t xml:space="preserve"> del rubro presupuestal disponible de 2026</w:t>
      </w:r>
      <w:r w:rsidRPr="00480BA8" w:rsidR="00544C1D">
        <w:rPr>
          <w:highlight w:val="yellow"/>
        </w:rPr>
        <w:t xml:space="preserve">, </w:t>
      </w:r>
      <w:r w:rsidRPr="00480BA8" w:rsidR="003B74EC">
        <w:rPr>
          <w:highlight w:val="yellow"/>
        </w:rPr>
        <w:t>$109,416,980,163.00</w:t>
      </w:r>
      <w:r w:rsidRPr="00480BA8" w:rsidR="00544C1D">
        <w:rPr>
          <w:highlight w:val="yellow"/>
        </w:rPr>
        <w:t xml:space="preserve">  de la actividad 1.1.2 y  </w:t>
      </w:r>
      <w:r w:rsidRPr="00480BA8" w:rsidR="00480BA8">
        <w:rPr>
          <w:highlight w:val="yellow"/>
        </w:rPr>
        <w:t xml:space="preserve">$ 312,619,939.00 </w:t>
      </w:r>
      <w:r w:rsidRPr="00480BA8" w:rsidR="00544C1D">
        <w:rPr>
          <w:highlight w:val="yellow"/>
        </w:rPr>
        <w:t xml:space="preserve">de </w:t>
      </w:r>
      <w:r w:rsidRPr="00972D7E" w:rsidR="00544C1D">
        <w:rPr>
          <w:highlight w:val="yellow"/>
        </w:rPr>
        <w:t>la actividad 1.1.3.</w:t>
      </w:r>
      <w:r w:rsidR="00544C1D">
        <w:t xml:space="preserve"> A su vez, de la actividad 1.1.4  se </w:t>
      </w:r>
      <w:r w:rsidRPr="00685EEC" w:rsidR="00544C1D">
        <w:rPr>
          <w:highlight w:val="yellow"/>
        </w:rPr>
        <w:t>comprometió XXXX</w:t>
      </w:r>
      <w:r w:rsidR="00544C1D">
        <w:t xml:space="preserve"> para la prestación de servicios de los profesionales que realizan las gestiones administrativas y de supervisión de los fondos de inversión. Finalmente, del presupuesto de la vigencia en mención se comprometió en la actividad </w:t>
      </w:r>
      <w:r w:rsidRPr="00BF0404" w:rsidR="00544C1D">
        <w:rPr>
          <w:highlight w:val="yellow"/>
        </w:rPr>
        <w:t xml:space="preserve">XXXX por un valor de XXX el pago de las vigencias expiradas aprobadas mediante el Comité de Administración del </w:t>
      </w:r>
      <w:r w:rsidR="00110415">
        <w:rPr>
          <w:highlight w:val="yellow"/>
        </w:rPr>
        <w:t>FAER</w:t>
      </w:r>
      <w:r w:rsidRPr="00BF0404" w:rsidR="00544C1D">
        <w:rPr>
          <w:highlight w:val="yellow"/>
        </w:rPr>
        <w:t xml:space="preserve"> (CAFA</w:t>
      </w:r>
      <w:r w:rsidR="00110415">
        <w:rPr>
          <w:highlight w:val="yellow"/>
        </w:rPr>
        <w:t>ER</w:t>
      </w:r>
      <w:r w:rsidRPr="00BF0404" w:rsidR="00544C1D">
        <w:rPr>
          <w:highlight w:val="yellow"/>
        </w:rPr>
        <w:t>) XXX.</w:t>
      </w:r>
      <w:r w:rsidR="00544C1D">
        <w:t xml:space="preserve"> Por ende, los compromisos para la vigencia 2026 suman un total de </w:t>
      </w:r>
      <w:r w:rsidRPr="00B9220C" w:rsidR="00B9220C">
        <w:rPr>
          <w:highlight w:val="yellow"/>
        </w:rPr>
        <w:t>$ 114.627.424.312</w:t>
      </w:r>
      <w:r w:rsidRPr="00B9220C" w:rsidR="00544C1D">
        <w:rPr>
          <w:highlight w:val="yellow"/>
        </w:rPr>
        <w:t xml:space="preserve"> y teniendo en cuenta que la apropiación vigente es de $2</w:t>
      </w:r>
      <w:r w:rsidRPr="00B9220C" w:rsidR="00B9220C">
        <w:rPr>
          <w:highlight w:val="yellow"/>
        </w:rPr>
        <w:t>0</w:t>
      </w:r>
      <w:r w:rsidRPr="00B9220C" w:rsidR="00544C1D">
        <w:rPr>
          <w:highlight w:val="yellow"/>
        </w:rPr>
        <w:t xml:space="preserve">0.000.000.000 hay disponible un valor de </w:t>
      </w:r>
      <w:r w:rsidRPr="00B9220C" w:rsidR="00B9220C">
        <w:rPr>
          <w:highlight w:val="yellow"/>
        </w:rPr>
        <w:t>$ 85.372.575.688</w:t>
      </w:r>
      <w:r w:rsidRPr="00B9220C" w:rsidR="00544C1D">
        <w:rPr>
          <w:highlight w:val="yellow"/>
        </w:rPr>
        <w:t>.</w:t>
      </w:r>
    </w:p>
    <w:p w:rsidR="00B9220C" w:rsidP="00D97D31" w:rsidRDefault="00D233FF" w14:paraId="5DCF54AF" w14:textId="77777777">
      <w:pPr>
        <w:spacing w:beforeAutospacing="1" w:afterAutospacing="1"/>
        <w:jc w:val="both"/>
      </w:pPr>
      <w:r w:rsidRPr="00BD36AE">
        <w:rPr>
          <w:highlight w:val="red"/>
        </w:rPr>
        <w:t>Con esto, se tiene un regazo de 4.652 usuarios para poder dar cumplimiento al total de la meta asignada para este proyecto de inversión.</w:t>
      </w:r>
      <w:r>
        <w:t xml:space="preserve">  En la </w:t>
      </w:r>
      <w:r w:rsidRPr="0F263A78">
        <w:rPr>
          <w:b/>
          <w:bCs/>
        </w:rPr>
        <w:t xml:space="preserve">Tabla </w:t>
      </w:r>
      <w:r>
        <w:rPr>
          <w:b/>
          <w:bCs/>
        </w:rPr>
        <w:t>9</w:t>
      </w:r>
      <w:r>
        <w:t xml:space="preserve"> se puede observar el detalle de los usuarios beneficiados. </w:t>
      </w:r>
    </w:p>
    <w:p w:rsidRPr="00D23091" w:rsidR="00D233FF" w:rsidP="00D97D31" w:rsidRDefault="00D233FF" w14:paraId="055455BE" w14:textId="5B72CA7F">
      <w:pPr>
        <w:spacing w:beforeAutospacing="1" w:afterAutospacing="1"/>
        <w:ind w:left="360"/>
        <w:jc w:val="center"/>
        <w:rPr>
          <w:rFonts w:ascii="Calibri" w:hAnsi="Calibri" w:cs="Calibri"/>
          <w:b/>
          <w:bCs/>
        </w:rPr>
      </w:pPr>
      <w:r w:rsidRPr="00D23091">
        <w:rPr>
          <w:rFonts w:ascii="Calibri" w:hAnsi="Calibri" w:cs="Calibri"/>
          <w:b/>
          <w:bCs/>
        </w:rPr>
        <w:t xml:space="preserve">Tabla </w:t>
      </w:r>
      <w:r>
        <w:rPr>
          <w:rFonts w:ascii="Calibri" w:hAnsi="Calibri" w:cs="Calibri"/>
          <w:b/>
          <w:bCs/>
        </w:rPr>
        <w:t>9</w:t>
      </w:r>
      <w:r w:rsidRPr="00D23091">
        <w:rPr>
          <w:rFonts w:ascii="Calibri" w:hAnsi="Calibri" w:cs="Calibri"/>
          <w:b/>
          <w:bCs/>
        </w:rPr>
        <w:t>. Usuarios beneficiados bajo la financiación del FAER</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1702"/>
        <w:gridCol w:w="2081"/>
        <w:gridCol w:w="3012"/>
        <w:gridCol w:w="2599"/>
      </w:tblGrid>
      <w:tr w:rsidRPr="001D4A4A" w:rsidR="00D233FF" w:rsidTr="009B3E82" w14:paraId="1064ACA9" w14:textId="77777777">
        <w:trPr>
          <w:trHeight w:val="288"/>
        </w:trPr>
        <w:tc>
          <w:tcPr>
            <w:tcW w:w="795" w:type="pct"/>
            <w:shd w:val="clear" w:color="auto" w:fill="D9E2F3" w:themeFill="accent1" w:themeFillTint="33"/>
            <w:noWrap/>
            <w:vAlign w:val="center"/>
          </w:tcPr>
          <w:p w:rsidRPr="001D4A4A" w:rsidR="00D233FF" w:rsidP="00D97D31" w:rsidRDefault="00D233FF" w14:paraId="0F6A19CA" w14:textId="77777777">
            <w:pPr>
              <w:suppressAutoHyphens w:val="0"/>
              <w:spacing w:after="0"/>
              <w:ind w:firstLine="220" w:firstLineChars="100"/>
              <w:jc w:val="center"/>
              <w:rPr>
                <w:rFonts w:ascii="Calibri" w:hAnsi="Calibri" w:eastAsia="Times New Roman" w:cs="Calibri"/>
                <w:b/>
                <w:bCs/>
                <w:color w:val="000000"/>
                <w:lang w:eastAsia="es-CO"/>
              </w:rPr>
            </w:pPr>
            <w:r w:rsidRPr="001D4A4A">
              <w:rPr>
                <w:rFonts w:ascii="Calibri" w:hAnsi="Calibri" w:eastAsia="Times New Roman" w:cs="Calibri"/>
                <w:b/>
                <w:bCs/>
                <w:color w:val="000000"/>
                <w:lang w:eastAsia="es-CO"/>
              </w:rPr>
              <w:t>Departamento</w:t>
            </w:r>
          </w:p>
        </w:tc>
        <w:tc>
          <w:tcPr>
            <w:tcW w:w="1271" w:type="pct"/>
            <w:shd w:val="clear" w:color="auto" w:fill="D9E2F3" w:themeFill="accent1" w:themeFillTint="33"/>
            <w:noWrap/>
            <w:vAlign w:val="center"/>
          </w:tcPr>
          <w:p w:rsidRPr="001D4A4A" w:rsidR="00D233FF" w:rsidP="00D97D31" w:rsidRDefault="00D233FF" w14:paraId="746C23F6" w14:textId="77777777">
            <w:pPr>
              <w:suppressAutoHyphens w:val="0"/>
              <w:spacing w:after="0"/>
              <w:jc w:val="center"/>
              <w:rPr>
                <w:rFonts w:ascii="Calibri" w:hAnsi="Calibri" w:eastAsia="Times New Roman" w:cs="Calibri"/>
                <w:b/>
                <w:bCs/>
                <w:color w:val="000000"/>
                <w:lang w:eastAsia="es-CO"/>
              </w:rPr>
            </w:pPr>
            <w:r w:rsidRPr="001D4A4A">
              <w:rPr>
                <w:rFonts w:ascii="Calibri" w:hAnsi="Calibri" w:eastAsia="Times New Roman" w:cs="Calibri"/>
                <w:b/>
                <w:bCs/>
                <w:color w:val="000000"/>
                <w:lang w:eastAsia="es-CO"/>
              </w:rPr>
              <w:t>Usuarios Totales</w:t>
            </w:r>
          </w:p>
        </w:tc>
        <w:tc>
          <w:tcPr>
            <w:tcW w:w="1766" w:type="pct"/>
            <w:shd w:val="clear" w:color="auto" w:fill="D9E2F3" w:themeFill="accent1" w:themeFillTint="33"/>
            <w:noWrap/>
            <w:vAlign w:val="center"/>
          </w:tcPr>
          <w:p w:rsidRPr="001D4A4A" w:rsidR="00D233FF" w:rsidP="00D97D31" w:rsidRDefault="00D233FF" w14:paraId="73AC7C71" w14:textId="77777777">
            <w:pPr>
              <w:suppressAutoHyphens w:val="0"/>
              <w:spacing w:after="0"/>
              <w:jc w:val="center"/>
              <w:rPr>
                <w:rFonts w:ascii="Calibri" w:hAnsi="Calibri" w:eastAsia="Times New Roman" w:cs="Calibri"/>
                <w:b/>
                <w:bCs/>
                <w:color w:val="000000"/>
                <w:lang w:eastAsia="es-CO"/>
              </w:rPr>
            </w:pPr>
            <w:r w:rsidRPr="001D4A4A">
              <w:rPr>
                <w:rFonts w:ascii="Calibri" w:hAnsi="Calibri" w:eastAsia="Times New Roman" w:cs="Calibri"/>
                <w:b/>
                <w:bCs/>
                <w:color w:val="000000"/>
                <w:lang w:eastAsia="es-CO"/>
              </w:rPr>
              <w:t>Usuarios de Mejoramiento</w:t>
            </w:r>
          </w:p>
        </w:tc>
        <w:tc>
          <w:tcPr>
            <w:tcW w:w="1168" w:type="pct"/>
            <w:shd w:val="clear" w:color="auto" w:fill="D9E2F3" w:themeFill="accent1" w:themeFillTint="33"/>
            <w:noWrap/>
            <w:vAlign w:val="center"/>
          </w:tcPr>
          <w:p w:rsidRPr="001D4A4A" w:rsidR="00D233FF" w:rsidP="00D97D31" w:rsidRDefault="00D233FF" w14:paraId="3B2EE06E" w14:textId="77777777">
            <w:pPr>
              <w:suppressAutoHyphens w:val="0"/>
              <w:spacing w:after="0"/>
              <w:jc w:val="center"/>
              <w:rPr>
                <w:rFonts w:ascii="Calibri" w:hAnsi="Calibri" w:eastAsia="Times New Roman" w:cs="Calibri"/>
                <w:b/>
                <w:bCs/>
                <w:color w:val="000000"/>
                <w:lang w:eastAsia="es-CO"/>
              </w:rPr>
            </w:pPr>
            <w:r w:rsidRPr="001D4A4A">
              <w:rPr>
                <w:rFonts w:ascii="Calibri" w:hAnsi="Calibri" w:eastAsia="Times New Roman" w:cs="Calibri"/>
                <w:b/>
                <w:bCs/>
                <w:color w:val="000000"/>
                <w:lang w:eastAsia="es-CO"/>
              </w:rPr>
              <w:t>Presupuesto Vigencia 2026</w:t>
            </w:r>
          </w:p>
        </w:tc>
      </w:tr>
      <w:tr w:rsidRPr="001D4A4A" w:rsidR="00D233FF" w:rsidTr="009B3E82" w14:paraId="1F6E2964" w14:textId="77777777">
        <w:trPr>
          <w:trHeight w:val="288"/>
        </w:trPr>
        <w:tc>
          <w:tcPr>
            <w:tcW w:w="795" w:type="pct"/>
            <w:noWrap/>
            <w:vAlign w:val="center"/>
            <w:hideMark/>
          </w:tcPr>
          <w:p w:rsidRPr="001D4A4A" w:rsidR="00D233FF" w:rsidP="00D97D31" w:rsidRDefault="00D233FF" w14:paraId="01409AED" w14:textId="77777777">
            <w:pPr>
              <w:suppressAutoHyphens w:val="0"/>
              <w:spacing w:after="0"/>
              <w:ind w:firstLine="220" w:firstLineChars="100"/>
              <w:jc w:val="center"/>
              <w:rPr>
                <w:rFonts w:ascii="Calibri" w:hAnsi="Calibri" w:eastAsia="Times New Roman" w:cs="Calibri"/>
                <w:color w:val="000000"/>
                <w:lang w:eastAsia="es-CO"/>
              </w:rPr>
            </w:pPr>
            <w:r w:rsidRPr="001D4A4A">
              <w:rPr>
                <w:rFonts w:ascii="Calibri" w:hAnsi="Calibri" w:eastAsia="Times New Roman" w:cs="Calibri"/>
                <w:color w:val="000000"/>
                <w:lang w:eastAsia="es-CO"/>
              </w:rPr>
              <w:t>Caquetá</w:t>
            </w:r>
          </w:p>
        </w:tc>
        <w:tc>
          <w:tcPr>
            <w:tcW w:w="1271" w:type="pct"/>
            <w:noWrap/>
            <w:vAlign w:val="center"/>
            <w:hideMark/>
          </w:tcPr>
          <w:p w:rsidRPr="001D4A4A" w:rsidR="00D233FF" w:rsidP="00D97D31" w:rsidRDefault="00D233FF" w14:paraId="26842D2C" w14:textId="77777777">
            <w:pPr>
              <w:suppressAutoHyphens w:val="0"/>
              <w:spacing w:after="0"/>
              <w:jc w:val="center"/>
              <w:rPr>
                <w:rFonts w:ascii="Calibri" w:hAnsi="Calibri" w:eastAsia="Times New Roman" w:cs="Calibri"/>
                <w:color w:val="000000"/>
                <w:lang w:eastAsia="es-CO"/>
              </w:rPr>
            </w:pPr>
            <w:r w:rsidRPr="001D4A4A">
              <w:rPr>
                <w:rFonts w:ascii="Calibri" w:hAnsi="Calibri" w:eastAsia="Times New Roman" w:cs="Calibri"/>
                <w:color w:val="000000"/>
                <w:lang w:eastAsia="es-CO"/>
              </w:rPr>
              <w:t>2.218</w:t>
            </w:r>
          </w:p>
        </w:tc>
        <w:tc>
          <w:tcPr>
            <w:tcW w:w="1766" w:type="pct"/>
            <w:noWrap/>
            <w:vAlign w:val="center"/>
            <w:hideMark/>
          </w:tcPr>
          <w:p w:rsidRPr="001D4A4A" w:rsidR="00D233FF" w:rsidP="00D97D31" w:rsidRDefault="00D233FF" w14:paraId="37C5B7DE" w14:textId="77777777">
            <w:pPr>
              <w:suppressAutoHyphens w:val="0"/>
              <w:spacing w:after="0"/>
              <w:jc w:val="center"/>
              <w:rPr>
                <w:rFonts w:ascii="Calibri" w:hAnsi="Calibri" w:eastAsia="Times New Roman" w:cs="Calibri"/>
                <w:color w:val="000000"/>
                <w:lang w:eastAsia="es-CO"/>
              </w:rPr>
            </w:pPr>
            <w:r w:rsidRPr="001D4A4A">
              <w:rPr>
                <w:rFonts w:ascii="Calibri" w:hAnsi="Calibri" w:eastAsia="Times New Roman" w:cs="Calibri"/>
                <w:color w:val="000000"/>
                <w:lang w:eastAsia="es-CO"/>
              </w:rPr>
              <w:t>0</w:t>
            </w:r>
          </w:p>
        </w:tc>
        <w:tc>
          <w:tcPr>
            <w:tcW w:w="1168" w:type="pct"/>
            <w:noWrap/>
            <w:vAlign w:val="center"/>
            <w:hideMark/>
          </w:tcPr>
          <w:p w:rsidRPr="001D4A4A" w:rsidR="00D233FF" w:rsidP="00D97D31" w:rsidRDefault="00D233FF" w14:paraId="372B9E8C" w14:textId="77777777">
            <w:pPr>
              <w:suppressAutoHyphens w:val="0"/>
              <w:spacing w:after="0"/>
              <w:jc w:val="center"/>
              <w:rPr>
                <w:rFonts w:ascii="Calibri" w:hAnsi="Calibri" w:eastAsia="Times New Roman" w:cs="Calibri"/>
                <w:color w:val="000000"/>
                <w:lang w:eastAsia="es-CO"/>
              </w:rPr>
            </w:pPr>
            <w:r w:rsidRPr="001D4A4A">
              <w:rPr>
                <w:rFonts w:ascii="Calibri" w:hAnsi="Calibri" w:eastAsia="Times New Roman" w:cs="Calibri"/>
                <w:color w:val="000000"/>
                <w:lang w:eastAsia="es-CO"/>
              </w:rPr>
              <w:t>$    28.230.822.405,00</w:t>
            </w:r>
          </w:p>
        </w:tc>
      </w:tr>
      <w:tr w:rsidRPr="001D4A4A" w:rsidR="00D233FF" w:rsidTr="009B3E82" w14:paraId="6DE76154" w14:textId="77777777">
        <w:trPr>
          <w:trHeight w:val="288"/>
        </w:trPr>
        <w:tc>
          <w:tcPr>
            <w:tcW w:w="795" w:type="pct"/>
            <w:noWrap/>
            <w:vAlign w:val="center"/>
            <w:hideMark/>
          </w:tcPr>
          <w:p w:rsidRPr="001D4A4A" w:rsidR="00D233FF" w:rsidP="00D97D31" w:rsidRDefault="00D233FF" w14:paraId="6036B492" w14:textId="77777777">
            <w:pPr>
              <w:suppressAutoHyphens w:val="0"/>
              <w:spacing w:after="0"/>
              <w:ind w:firstLine="220" w:firstLineChars="100"/>
              <w:jc w:val="center"/>
              <w:rPr>
                <w:rFonts w:ascii="Calibri" w:hAnsi="Calibri" w:eastAsia="Times New Roman" w:cs="Calibri"/>
                <w:color w:val="000000"/>
                <w:lang w:eastAsia="es-CO"/>
              </w:rPr>
            </w:pPr>
            <w:r w:rsidRPr="001D4A4A">
              <w:rPr>
                <w:rFonts w:ascii="Calibri" w:hAnsi="Calibri" w:eastAsia="Times New Roman" w:cs="Calibri"/>
                <w:color w:val="000000"/>
                <w:lang w:eastAsia="es-CO"/>
              </w:rPr>
              <w:t>Chocó</w:t>
            </w:r>
          </w:p>
        </w:tc>
        <w:tc>
          <w:tcPr>
            <w:tcW w:w="1271" w:type="pct"/>
            <w:noWrap/>
            <w:vAlign w:val="center"/>
            <w:hideMark/>
          </w:tcPr>
          <w:p w:rsidRPr="001D4A4A" w:rsidR="00D233FF" w:rsidP="00D97D31" w:rsidRDefault="00D233FF" w14:paraId="2DBA3DAD" w14:textId="77777777">
            <w:pPr>
              <w:suppressAutoHyphens w:val="0"/>
              <w:spacing w:after="0"/>
              <w:jc w:val="center"/>
              <w:rPr>
                <w:rFonts w:ascii="Calibri" w:hAnsi="Calibri" w:eastAsia="Times New Roman" w:cs="Calibri"/>
                <w:color w:val="000000"/>
                <w:lang w:eastAsia="es-CO"/>
              </w:rPr>
            </w:pPr>
            <w:r w:rsidRPr="001D4A4A">
              <w:rPr>
                <w:rFonts w:ascii="Calibri" w:hAnsi="Calibri" w:eastAsia="Times New Roman" w:cs="Calibri"/>
                <w:color w:val="000000"/>
                <w:lang w:eastAsia="es-CO"/>
              </w:rPr>
              <w:t>569</w:t>
            </w:r>
          </w:p>
        </w:tc>
        <w:tc>
          <w:tcPr>
            <w:tcW w:w="1766" w:type="pct"/>
            <w:noWrap/>
            <w:vAlign w:val="center"/>
            <w:hideMark/>
          </w:tcPr>
          <w:p w:rsidRPr="001D4A4A" w:rsidR="00D233FF" w:rsidP="00D97D31" w:rsidRDefault="00D233FF" w14:paraId="5CDCDA41" w14:textId="77777777">
            <w:pPr>
              <w:suppressAutoHyphens w:val="0"/>
              <w:spacing w:after="0"/>
              <w:jc w:val="center"/>
              <w:rPr>
                <w:rFonts w:ascii="Calibri" w:hAnsi="Calibri" w:eastAsia="Times New Roman" w:cs="Calibri"/>
                <w:color w:val="000000"/>
                <w:lang w:eastAsia="es-CO"/>
              </w:rPr>
            </w:pPr>
            <w:r w:rsidRPr="001D4A4A">
              <w:rPr>
                <w:rFonts w:ascii="Calibri" w:hAnsi="Calibri" w:eastAsia="Times New Roman" w:cs="Calibri"/>
                <w:color w:val="000000"/>
                <w:lang w:eastAsia="es-CO"/>
              </w:rPr>
              <w:t>0</w:t>
            </w:r>
          </w:p>
        </w:tc>
        <w:tc>
          <w:tcPr>
            <w:tcW w:w="1168" w:type="pct"/>
            <w:noWrap/>
            <w:vAlign w:val="center"/>
            <w:hideMark/>
          </w:tcPr>
          <w:p w:rsidRPr="001D4A4A" w:rsidR="00D233FF" w:rsidP="00D97D31" w:rsidRDefault="00D233FF" w14:paraId="1FADE999" w14:textId="77777777">
            <w:pPr>
              <w:suppressAutoHyphens w:val="0"/>
              <w:spacing w:after="0"/>
              <w:jc w:val="center"/>
              <w:rPr>
                <w:rFonts w:ascii="Calibri" w:hAnsi="Calibri" w:eastAsia="Times New Roman" w:cs="Calibri"/>
                <w:color w:val="000000"/>
                <w:lang w:eastAsia="es-CO"/>
              </w:rPr>
            </w:pPr>
            <w:r w:rsidRPr="001D4A4A">
              <w:rPr>
                <w:rFonts w:ascii="Calibri" w:hAnsi="Calibri" w:eastAsia="Times New Roman" w:cs="Calibri"/>
                <w:color w:val="000000"/>
                <w:lang w:eastAsia="es-CO"/>
              </w:rPr>
              <w:t>$      4.421.361.922,00</w:t>
            </w:r>
          </w:p>
        </w:tc>
      </w:tr>
      <w:tr w:rsidRPr="001D4A4A" w:rsidR="00D233FF" w:rsidTr="009B3E82" w14:paraId="591C973D" w14:textId="77777777">
        <w:trPr>
          <w:trHeight w:val="288"/>
        </w:trPr>
        <w:tc>
          <w:tcPr>
            <w:tcW w:w="795" w:type="pct"/>
            <w:noWrap/>
            <w:vAlign w:val="center"/>
            <w:hideMark/>
          </w:tcPr>
          <w:p w:rsidRPr="001D4A4A" w:rsidR="00D233FF" w:rsidP="00D97D31" w:rsidRDefault="00D233FF" w14:paraId="608DD00B" w14:textId="77777777">
            <w:pPr>
              <w:suppressAutoHyphens w:val="0"/>
              <w:spacing w:after="0"/>
              <w:ind w:firstLine="220" w:firstLineChars="100"/>
              <w:jc w:val="center"/>
              <w:rPr>
                <w:rFonts w:ascii="Calibri" w:hAnsi="Calibri" w:eastAsia="Times New Roman" w:cs="Calibri"/>
                <w:color w:val="000000"/>
                <w:lang w:eastAsia="es-CO"/>
              </w:rPr>
            </w:pPr>
            <w:r w:rsidRPr="001D4A4A">
              <w:rPr>
                <w:rFonts w:ascii="Calibri" w:hAnsi="Calibri" w:eastAsia="Times New Roman" w:cs="Calibri"/>
                <w:color w:val="000000"/>
                <w:lang w:eastAsia="es-CO"/>
              </w:rPr>
              <w:t>Guaviare</w:t>
            </w:r>
          </w:p>
        </w:tc>
        <w:tc>
          <w:tcPr>
            <w:tcW w:w="1271" w:type="pct"/>
            <w:noWrap/>
            <w:vAlign w:val="center"/>
            <w:hideMark/>
          </w:tcPr>
          <w:p w:rsidRPr="001D4A4A" w:rsidR="00D233FF" w:rsidP="00D97D31" w:rsidRDefault="00D233FF" w14:paraId="3B733201" w14:textId="77777777">
            <w:pPr>
              <w:suppressAutoHyphens w:val="0"/>
              <w:spacing w:after="0"/>
              <w:jc w:val="center"/>
              <w:rPr>
                <w:rFonts w:ascii="Calibri" w:hAnsi="Calibri" w:eastAsia="Times New Roman" w:cs="Calibri"/>
                <w:color w:val="000000"/>
                <w:lang w:eastAsia="es-CO"/>
              </w:rPr>
            </w:pPr>
            <w:r w:rsidRPr="001D4A4A">
              <w:rPr>
                <w:rFonts w:ascii="Calibri" w:hAnsi="Calibri" w:eastAsia="Times New Roman" w:cs="Calibri"/>
                <w:color w:val="000000"/>
                <w:lang w:eastAsia="es-CO"/>
              </w:rPr>
              <w:t>20.851</w:t>
            </w:r>
          </w:p>
        </w:tc>
        <w:tc>
          <w:tcPr>
            <w:tcW w:w="1766" w:type="pct"/>
            <w:noWrap/>
            <w:vAlign w:val="center"/>
            <w:hideMark/>
          </w:tcPr>
          <w:p w:rsidRPr="001D4A4A" w:rsidR="00D233FF" w:rsidP="00D97D31" w:rsidRDefault="00D233FF" w14:paraId="4D521B71" w14:textId="77777777">
            <w:pPr>
              <w:suppressAutoHyphens w:val="0"/>
              <w:spacing w:after="0"/>
              <w:jc w:val="center"/>
              <w:rPr>
                <w:rFonts w:ascii="Calibri" w:hAnsi="Calibri" w:eastAsia="Times New Roman" w:cs="Calibri"/>
                <w:color w:val="000000"/>
                <w:lang w:eastAsia="es-CO"/>
              </w:rPr>
            </w:pPr>
            <w:r w:rsidRPr="001D4A4A">
              <w:rPr>
                <w:rFonts w:ascii="Calibri" w:hAnsi="Calibri" w:eastAsia="Times New Roman" w:cs="Calibri"/>
                <w:color w:val="000000"/>
                <w:lang w:eastAsia="es-CO"/>
              </w:rPr>
              <w:t>20.807</w:t>
            </w:r>
          </w:p>
        </w:tc>
        <w:tc>
          <w:tcPr>
            <w:tcW w:w="1168" w:type="pct"/>
            <w:noWrap/>
            <w:vAlign w:val="center"/>
            <w:hideMark/>
          </w:tcPr>
          <w:p w:rsidRPr="001D4A4A" w:rsidR="00D233FF" w:rsidP="00D97D31" w:rsidRDefault="00D233FF" w14:paraId="61F3980A" w14:textId="77777777">
            <w:pPr>
              <w:suppressAutoHyphens w:val="0"/>
              <w:spacing w:after="0"/>
              <w:jc w:val="center"/>
              <w:rPr>
                <w:rFonts w:ascii="Calibri" w:hAnsi="Calibri" w:eastAsia="Times New Roman" w:cs="Calibri"/>
                <w:color w:val="000000"/>
                <w:lang w:eastAsia="es-CO"/>
              </w:rPr>
            </w:pPr>
            <w:r w:rsidRPr="001D4A4A">
              <w:rPr>
                <w:rFonts w:ascii="Calibri" w:hAnsi="Calibri" w:eastAsia="Times New Roman" w:cs="Calibri"/>
                <w:color w:val="000000"/>
                <w:lang w:eastAsia="es-CO"/>
              </w:rPr>
              <w:t>$    36.859.349.959,26</w:t>
            </w:r>
          </w:p>
        </w:tc>
      </w:tr>
      <w:tr w:rsidRPr="001D4A4A" w:rsidR="00D233FF" w:rsidTr="009B3E82" w14:paraId="37A67DC4" w14:textId="77777777">
        <w:trPr>
          <w:trHeight w:val="288"/>
        </w:trPr>
        <w:tc>
          <w:tcPr>
            <w:tcW w:w="795" w:type="pct"/>
            <w:noWrap/>
            <w:vAlign w:val="center"/>
            <w:hideMark/>
          </w:tcPr>
          <w:p w:rsidRPr="001D4A4A" w:rsidR="00D233FF" w:rsidP="00D97D31" w:rsidRDefault="00D233FF" w14:paraId="38E2F6AC" w14:textId="77777777">
            <w:pPr>
              <w:suppressAutoHyphens w:val="0"/>
              <w:spacing w:after="0"/>
              <w:ind w:firstLine="220" w:firstLineChars="100"/>
              <w:jc w:val="center"/>
              <w:rPr>
                <w:rFonts w:ascii="Calibri" w:hAnsi="Calibri" w:eastAsia="Times New Roman" w:cs="Calibri"/>
                <w:color w:val="000000"/>
                <w:lang w:eastAsia="es-CO"/>
              </w:rPr>
            </w:pPr>
            <w:r w:rsidRPr="001D4A4A">
              <w:rPr>
                <w:rFonts w:ascii="Calibri" w:hAnsi="Calibri" w:eastAsia="Times New Roman" w:cs="Calibri"/>
                <w:color w:val="000000"/>
                <w:lang w:eastAsia="es-CO"/>
              </w:rPr>
              <w:t>Huila</w:t>
            </w:r>
          </w:p>
        </w:tc>
        <w:tc>
          <w:tcPr>
            <w:tcW w:w="1271" w:type="pct"/>
            <w:noWrap/>
            <w:vAlign w:val="center"/>
            <w:hideMark/>
          </w:tcPr>
          <w:p w:rsidRPr="001D4A4A" w:rsidR="00D233FF" w:rsidP="00D97D31" w:rsidRDefault="00D233FF" w14:paraId="761DF375" w14:textId="77777777">
            <w:pPr>
              <w:suppressAutoHyphens w:val="0"/>
              <w:spacing w:after="0"/>
              <w:jc w:val="center"/>
              <w:rPr>
                <w:rFonts w:ascii="Calibri" w:hAnsi="Calibri" w:eastAsia="Times New Roman" w:cs="Calibri"/>
                <w:color w:val="000000"/>
                <w:lang w:eastAsia="es-CO"/>
              </w:rPr>
            </w:pPr>
            <w:r w:rsidRPr="001D4A4A">
              <w:rPr>
                <w:rFonts w:ascii="Calibri" w:hAnsi="Calibri" w:eastAsia="Times New Roman" w:cs="Calibri"/>
                <w:color w:val="000000"/>
                <w:lang w:eastAsia="es-CO"/>
              </w:rPr>
              <w:t>1.842</w:t>
            </w:r>
          </w:p>
        </w:tc>
        <w:tc>
          <w:tcPr>
            <w:tcW w:w="1766" w:type="pct"/>
            <w:noWrap/>
            <w:vAlign w:val="center"/>
            <w:hideMark/>
          </w:tcPr>
          <w:p w:rsidRPr="001D4A4A" w:rsidR="00D233FF" w:rsidP="00D97D31" w:rsidRDefault="00D233FF" w14:paraId="7611BA93" w14:textId="77777777">
            <w:pPr>
              <w:suppressAutoHyphens w:val="0"/>
              <w:spacing w:after="0"/>
              <w:jc w:val="center"/>
              <w:rPr>
                <w:rFonts w:ascii="Calibri" w:hAnsi="Calibri" w:eastAsia="Times New Roman" w:cs="Calibri"/>
                <w:color w:val="000000"/>
                <w:lang w:eastAsia="es-CO"/>
              </w:rPr>
            </w:pPr>
            <w:r w:rsidRPr="001D4A4A">
              <w:rPr>
                <w:rFonts w:ascii="Calibri" w:hAnsi="Calibri" w:eastAsia="Times New Roman" w:cs="Calibri"/>
                <w:color w:val="000000"/>
                <w:lang w:eastAsia="es-CO"/>
              </w:rPr>
              <w:t>0</w:t>
            </w:r>
          </w:p>
        </w:tc>
        <w:tc>
          <w:tcPr>
            <w:tcW w:w="1168" w:type="pct"/>
            <w:noWrap/>
            <w:vAlign w:val="center"/>
            <w:hideMark/>
          </w:tcPr>
          <w:p w:rsidRPr="001D4A4A" w:rsidR="00D233FF" w:rsidP="00D97D31" w:rsidRDefault="00D233FF" w14:paraId="212F88F9" w14:textId="77777777">
            <w:pPr>
              <w:suppressAutoHyphens w:val="0"/>
              <w:spacing w:after="0"/>
              <w:jc w:val="center"/>
              <w:rPr>
                <w:rFonts w:ascii="Calibri" w:hAnsi="Calibri" w:eastAsia="Times New Roman" w:cs="Calibri"/>
                <w:color w:val="000000"/>
                <w:lang w:eastAsia="es-CO"/>
              </w:rPr>
            </w:pPr>
            <w:r w:rsidRPr="001D4A4A">
              <w:rPr>
                <w:rFonts w:ascii="Calibri" w:hAnsi="Calibri" w:eastAsia="Times New Roman" w:cs="Calibri"/>
                <w:color w:val="000000"/>
                <w:lang w:eastAsia="es-CO"/>
              </w:rPr>
              <w:t>$    11.224.405.809,00</w:t>
            </w:r>
          </w:p>
        </w:tc>
      </w:tr>
      <w:tr w:rsidRPr="001D4A4A" w:rsidR="00D233FF" w:rsidTr="009B3E82" w14:paraId="743598FF" w14:textId="77777777">
        <w:trPr>
          <w:trHeight w:val="288"/>
        </w:trPr>
        <w:tc>
          <w:tcPr>
            <w:tcW w:w="795" w:type="pct"/>
            <w:noWrap/>
            <w:vAlign w:val="center"/>
            <w:hideMark/>
          </w:tcPr>
          <w:p w:rsidRPr="001D4A4A" w:rsidR="00D233FF" w:rsidP="00D97D31" w:rsidRDefault="00D233FF" w14:paraId="0933A2B8" w14:textId="77777777">
            <w:pPr>
              <w:suppressAutoHyphens w:val="0"/>
              <w:spacing w:after="0"/>
              <w:ind w:firstLine="220" w:firstLineChars="100"/>
              <w:jc w:val="center"/>
              <w:rPr>
                <w:rFonts w:ascii="Calibri" w:hAnsi="Calibri" w:eastAsia="Times New Roman" w:cs="Calibri"/>
                <w:color w:val="000000"/>
                <w:lang w:eastAsia="es-CO"/>
              </w:rPr>
            </w:pPr>
            <w:r w:rsidRPr="001D4A4A">
              <w:rPr>
                <w:rFonts w:ascii="Calibri" w:hAnsi="Calibri" w:eastAsia="Times New Roman" w:cs="Calibri"/>
                <w:color w:val="000000"/>
                <w:lang w:eastAsia="es-CO"/>
              </w:rPr>
              <w:t>Meta</w:t>
            </w:r>
          </w:p>
        </w:tc>
        <w:tc>
          <w:tcPr>
            <w:tcW w:w="1271" w:type="pct"/>
            <w:noWrap/>
            <w:vAlign w:val="center"/>
            <w:hideMark/>
          </w:tcPr>
          <w:p w:rsidRPr="001D4A4A" w:rsidR="00D233FF" w:rsidP="00D97D31" w:rsidRDefault="00D233FF" w14:paraId="1CF63082" w14:textId="77777777">
            <w:pPr>
              <w:suppressAutoHyphens w:val="0"/>
              <w:spacing w:after="0"/>
              <w:jc w:val="center"/>
              <w:rPr>
                <w:rFonts w:ascii="Calibri" w:hAnsi="Calibri" w:eastAsia="Times New Roman" w:cs="Calibri"/>
                <w:color w:val="000000"/>
                <w:lang w:eastAsia="es-CO"/>
              </w:rPr>
            </w:pPr>
            <w:r w:rsidRPr="001D4A4A">
              <w:rPr>
                <w:rFonts w:ascii="Calibri" w:hAnsi="Calibri" w:eastAsia="Times New Roman" w:cs="Calibri"/>
                <w:color w:val="000000"/>
                <w:lang w:eastAsia="es-CO"/>
              </w:rPr>
              <w:t>6.618</w:t>
            </w:r>
          </w:p>
        </w:tc>
        <w:tc>
          <w:tcPr>
            <w:tcW w:w="1766" w:type="pct"/>
            <w:noWrap/>
            <w:vAlign w:val="center"/>
            <w:hideMark/>
          </w:tcPr>
          <w:p w:rsidRPr="001D4A4A" w:rsidR="00D233FF" w:rsidP="00D97D31" w:rsidRDefault="00D233FF" w14:paraId="2BAF9F87" w14:textId="77777777">
            <w:pPr>
              <w:suppressAutoHyphens w:val="0"/>
              <w:spacing w:after="0"/>
              <w:jc w:val="center"/>
              <w:rPr>
                <w:rFonts w:ascii="Calibri" w:hAnsi="Calibri" w:eastAsia="Times New Roman" w:cs="Calibri"/>
                <w:color w:val="000000"/>
                <w:lang w:eastAsia="es-CO"/>
              </w:rPr>
            </w:pPr>
            <w:r w:rsidRPr="001D4A4A">
              <w:rPr>
                <w:rFonts w:ascii="Calibri" w:hAnsi="Calibri" w:eastAsia="Times New Roman" w:cs="Calibri"/>
                <w:color w:val="000000"/>
                <w:lang w:eastAsia="es-CO"/>
              </w:rPr>
              <w:t>5.566</w:t>
            </w:r>
          </w:p>
        </w:tc>
        <w:tc>
          <w:tcPr>
            <w:tcW w:w="1168" w:type="pct"/>
            <w:noWrap/>
            <w:vAlign w:val="center"/>
            <w:hideMark/>
          </w:tcPr>
          <w:p w:rsidRPr="001D4A4A" w:rsidR="00D233FF" w:rsidP="00D97D31" w:rsidRDefault="00D233FF" w14:paraId="0B87CFA5" w14:textId="77777777">
            <w:pPr>
              <w:suppressAutoHyphens w:val="0"/>
              <w:spacing w:after="0"/>
              <w:jc w:val="center"/>
              <w:rPr>
                <w:rFonts w:ascii="Calibri" w:hAnsi="Calibri" w:eastAsia="Times New Roman" w:cs="Calibri"/>
                <w:color w:val="000000"/>
                <w:lang w:eastAsia="es-CO"/>
              </w:rPr>
            </w:pPr>
            <w:r w:rsidRPr="001D4A4A">
              <w:rPr>
                <w:rFonts w:ascii="Calibri" w:hAnsi="Calibri" w:eastAsia="Times New Roman" w:cs="Calibri"/>
                <w:color w:val="000000"/>
                <w:lang w:eastAsia="es-CO"/>
              </w:rPr>
              <w:t>$    11.698.967.820,74</w:t>
            </w:r>
          </w:p>
        </w:tc>
      </w:tr>
      <w:tr w:rsidRPr="001D4A4A" w:rsidR="00D233FF" w:rsidTr="009B3E82" w14:paraId="0C4A7C9B" w14:textId="77777777">
        <w:trPr>
          <w:trHeight w:val="420"/>
        </w:trPr>
        <w:tc>
          <w:tcPr>
            <w:tcW w:w="795" w:type="pct"/>
            <w:noWrap/>
            <w:vAlign w:val="center"/>
            <w:hideMark/>
          </w:tcPr>
          <w:p w:rsidRPr="001D4A4A" w:rsidR="00D233FF" w:rsidP="00D97D31" w:rsidRDefault="00D233FF" w14:paraId="473B6759" w14:textId="77777777">
            <w:pPr>
              <w:suppressAutoHyphens w:val="0"/>
              <w:spacing w:after="0"/>
              <w:ind w:firstLine="220" w:firstLineChars="100"/>
              <w:jc w:val="center"/>
              <w:rPr>
                <w:rFonts w:ascii="Calibri" w:hAnsi="Calibri" w:eastAsia="Times New Roman" w:cs="Calibri"/>
                <w:color w:val="000000"/>
                <w:lang w:eastAsia="es-CO"/>
              </w:rPr>
            </w:pPr>
            <w:r w:rsidRPr="001D4A4A">
              <w:rPr>
                <w:rFonts w:ascii="Calibri" w:hAnsi="Calibri" w:eastAsia="Times New Roman" w:cs="Calibri"/>
                <w:color w:val="000000"/>
                <w:lang w:eastAsia="es-CO"/>
              </w:rPr>
              <w:t>Nariño</w:t>
            </w:r>
          </w:p>
        </w:tc>
        <w:tc>
          <w:tcPr>
            <w:tcW w:w="1271" w:type="pct"/>
            <w:noWrap/>
            <w:vAlign w:val="center"/>
            <w:hideMark/>
          </w:tcPr>
          <w:p w:rsidRPr="001D4A4A" w:rsidR="00D233FF" w:rsidP="00D97D31" w:rsidRDefault="00D233FF" w14:paraId="4CF88CC9" w14:textId="77777777">
            <w:pPr>
              <w:suppressAutoHyphens w:val="0"/>
              <w:spacing w:after="0"/>
              <w:jc w:val="center"/>
              <w:rPr>
                <w:rFonts w:ascii="Calibri" w:hAnsi="Calibri" w:eastAsia="Times New Roman" w:cs="Calibri"/>
                <w:color w:val="000000"/>
                <w:lang w:eastAsia="es-CO"/>
              </w:rPr>
            </w:pPr>
            <w:r w:rsidRPr="001D4A4A">
              <w:rPr>
                <w:rFonts w:ascii="Calibri" w:hAnsi="Calibri" w:eastAsia="Times New Roman" w:cs="Calibri"/>
                <w:color w:val="000000"/>
                <w:lang w:eastAsia="es-CO"/>
              </w:rPr>
              <w:t>508</w:t>
            </w:r>
          </w:p>
        </w:tc>
        <w:tc>
          <w:tcPr>
            <w:tcW w:w="1766" w:type="pct"/>
            <w:noWrap/>
            <w:vAlign w:val="center"/>
            <w:hideMark/>
          </w:tcPr>
          <w:p w:rsidRPr="001D4A4A" w:rsidR="00D233FF" w:rsidP="00D97D31" w:rsidRDefault="00D233FF" w14:paraId="763DD17C" w14:textId="77777777">
            <w:pPr>
              <w:suppressAutoHyphens w:val="0"/>
              <w:spacing w:after="0"/>
              <w:jc w:val="center"/>
              <w:rPr>
                <w:rFonts w:ascii="Calibri" w:hAnsi="Calibri" w:eastAsia="Times New Roman" w:cs="Calibri"/>
                <w:color w:val="000000"/>
                <w:lang w:eastAsia="es-CO"/>
              </w:rPr>
            </w:pPr>
            <w:r w:rsidRPr="001D4A4A">
              <w:rPr>
                <w:rFonts w:ascii="Calibri" w:hAnsi="Calibri" w:eastAsia="Times New Roman" w:cs="Calibri"/>
                <w:color w:val="000000"/>
                <w:lang w:eastAsia="es-CO"/>
              </w:rPr>
              <w:t>0</w:t>
            </w:r>
          </w:p>
        </w:tc>
        <w:tc>
          <w:tcPr>
            <w:tcW w:w="1168" w:type="pct"/>
            <w:noWrap/>
            <w:vAlign w:val="center"/>
            <w:hideMark/>
          </w:tcPr>
          <w:p w:rsidRPr="001D4A4A" w:rsidR="00D233FF" w:rsidP="00D97D31" w:rsidRDefault="00D233FF" w14:paraId="3C9A736A" w14:textId="77777777">
            <w:pPr>
              <w:suppressAutoHyphens w:val="0"/>
              <w:spacing w:after="0"/>
              <w:jc w:val="center"/>
              <w:rPr>
                <w:rFonts w:ascii="Calibri" w:hAnsi="Calibri" w:eastAsia="Times New Roman" w:cs="Calibri"/>
                <w:color w:val="000000"/>
                <w:lang w:eastAsia="es-CO"/>
              </w:rPr>
            </w:pPr>
            <w:r w:rsidRPr="001D4A4A">
              <w:rPr>
                <w:rFonts w:ascii="Calibri" w:hAnsi="Calibri" w:eastAsia="Times New Roman" w:cs="Calibri"/>
                <w:color w:val="000000"/>
                <w:lang w:eastAsia="es-CO"/>
              </w:rPr>
              <w:t>$    10.868.976.752,00</w:t>
            </w:r>
          </w:p>
        </w:tc>
      </w:tr>
      <w:tr w:rsidRPr="001D4A4A" w:rsidR="00D233FF" w:rsidTr="009B3E82" w14:paraId="625D248F" w14:textId="77777777">
        <w:trPr>
          <w:trHeight w:val="288"/>
        </w:trPr>
        <w:tc>
          <w:tcPr>
            <w:tcW w:w="795" w:type="pct"/>
            <w:noWrap/>
            <w:vAlign w:val="center"/>
            <w:hideMark/>
          </w:tcPr>
          <w:p w:rsidRPr="001D4A4A" w:rsidR="00D233FF" w:rsidP="00D97D31" w:rsidRDefault="00D233FF" w14:paraId="209B0AA5" w14:textId="77777777">
            <w:pPr>
              <w:suppressAutoHyphens w:val="0"/>
              <w:spacing w:after="0"/>
              <w:ind w:firstLine="220" w:firstLineChars="100"/>
              <w:jc w:val="center"/>
              <w:rPr>
                <w:rFonts w:ascii="Calibri" w:hAnsi="Calibri" w:eastAsia="Times New Roman" w:cs="Calibri"/>
                <w:color w:val="000000"/>
                <w:lang w:eastAsia="es-CO"/>
              </w:rPr>
            </w:pPr>
            <w:r w:rsidRPr="001D4A4A">
              <w:rPr>
                <w:rFonts w:ascii="Calibri" w:hAnsi="Calibri" w:eastAsia="Times New Roman" w:cs="Calibri"/>
                <w:color w:val="000000"/>
                <w:lang w:eastAsia="es-CO"/>
              </w:rPr>
              <w:t>Putumayo</w:t>
            </w:r>
          </w:p>
        </w:tc>
        <w:tc>
          <w:tcPr>
            <w:tcW w:w="1271" w:type="pct"/>
            <w:noWrap/>
            <w:vAlign w:val="center"/>
            <w:hideMark/>
          </w:tcPr>
          <w:p w:rsidRPr="001D4A4A" w:rsidR="00D233FF" w:rsidP="00D97D31" w:rsidRDefault="00D233FF" w14:paraId="76F42897" w14:textId="77777777">
            <w:pPr>
              <w:suppressAutoHyphens w:val="0"/>
              <w:spacing w:after="0"/>
              <w:jc w:val="center"/>
              <w:rPr>
                <w:rFonts w:ascii="Calibri" w:hAnsi="Calibri" w:eastAsia="Times New Roman" w:cs="Calibri"/>
                <w:color w:val="000000"/>
                <w:lang w:eastAsia="es-CO"/>
              </w:rPr>
            </w:pPr>
            <w:r w:rsidRPr="001D4A4A">
              <w:rPr>
                <w:rFonts w:ascii="Calibri" w:hAnsi="Calibri" w:eastAsia="Times New Roman" w:cs="Calibri"/>
                <w:color w:val="000000"/>
                <w:lang w:eastAsia="es-CO"/>
              </w:rPr>
              <w:t>278</w:t>
            </w:r>
          </w:p>
        </w:tc>
        <w:tc>
          <w:tcPr>
            <w:tcW w:w="1766" w:type="pct"/>
            <w:noWrap/>
            <w:vAlign w:val="center"/>
            <w:hideMark/>
          </w:tcPr>
          <w:p w:rsidRPr="001D4A4A" w:rsidR="00D233FF" w:rsidP="00D97D31" w:rsidRDefault="00D233FF" w14:paraId="0FC62218" w14:textId="77777777">
            <w:pPr>
              <w:suppressAutoHyphens w:val="0"/>
              <w:spacing w:after="0"/>
              <w:jc w:val="center"/>
              <w:rPr>
                <w:rFonts w:ascii="Calibri" w:hAnsi="Calibri" w:eastAsia="Times New Roman" w:cs="Calibri"/>
                <w:color w:val="000000"/>
                <w:lang w:eastAsia="es-CO"/>
              </w:rPr>
            </w:pPr>
            <w:r w:rsidRPr="001D4A4A">
              <w:rPr>
                <w:rFonts w:ascii="Calibri" w:hAnsi="Calibri" w:eastAsia="Times New Roman" w:cs="Calibri"/>
                <w:color w:val="000000"/>
                <w:lang w:eastAsia="es-CO"/>
              </w:rPr>
              <w:t>0</w:t>
            </w:r>
          </w:p>
        </w:tc>
        <w:tc>
          <w:tcPr>
            <w:tcW w:w="1168" w:type="pct"/>
            <w:noWrap/>
            <w:vAlign w:val="center"/>
            <w:hideMark/>
          </w:tcPr>
          <w:p w:rsidRPr="001D4A4A" w:rsidR="00D233FF" w:rsidP="00D97D31" w:rsidRDefault="00D233FF" w14:paraId="3F16A24C" w14:textId="77777777">
            <w:pPr>
              <w:suppressAutoHyphens w:val="0"/>
              <w:spacing w:after="0"/>
              <w:jc w:val="center"/>
              <w:rPr>
                <w:rFonts w:ascii="Calibri" w:hAnsi="Calibri" w:eastAsia="Times New Roman" w:cs="Calibri"/>
                <w:color w:val="000000"/>
                <w:lang w:eastAsia="es-CO"/>
              </w:rPr>
            </w:pPr>
            <w:r w:rsidRPr="001D4A4A">
              <w:rPr>
                <w:rFonts w:ascii="Calibri" w:hAnsi="Calibri" w:eastAsia="Times New Roman" w:cs="Calibri"/>
                <w:color w:val="000000"/>
                <w:lang w:eastAsia="es-CO"/>
              </w:rPr>
              <w:t>$      3.012.239.919,00</w:t>
            </w:r>
          </w:p>
        </w:tc>
      </w:tr>
      <w:tr w:rsidRPr="001D4A4A" w:rsidR="00D233FF" w:rsidTr="009B3E82" w14:paraId="6BD7BB0A" w14:textId="77777777">
        <w:trPr>
          <w:trHeight w:val="288"/>
        </w:trPr>
        <w:tc>
          <w:tcPr>
            <w:tcW w:w="795" w:type="pct"/>
            <w:noWrap/>
            <w:vAlign w:val="center"/>
            <w:hideMark/>
          </w:tcPr>
          <w:p w:rsidRPr="001D4A4A" w:rsidR="00D233FF" w:rsidP="00D97D31" w:rsidRDefault="00D233FF" w14:paraId="2A5071D2" w14:textId="77777777">
            <w:pPr>
              <w:suppressAutoHyphens w:val="0"/>
              <w:spacing w:after="0"/>
              <w:ind w:firstLine="220" w:firstLineChars="100"/>
              <w:jc w:val="center"/>
              <w:rPr>
                <w:rFonts w:ascii="Calibri" w:hAnsi="Calibri" w:eastAsia="Times New Roman" w:cs="Calibri"/>
                <w:color w:val="000000"/>
                <w:lang w:eastAsia="es-CO"/>
              </w:rPr>
            </w:pPr>
            <w:r w:rsidRPr="001D4A4A">
              <w:rPr>
                <w:rFonts w:ascii="Calibri" w:hAnsi="Calibri" w:eastAsia="Times New Roman" w:cs="Calibri"/>
                <w:color w:val="000000"/>
                <w:lang w:eastAsia="es-CO"/>
              </w:rPr>
              <w:t>Santander</w:t>
            </w:r>
          </w:p>
        </w:tc>
        <w:tc>
          <w:tcPr>
            <w:tcW w:w="1271" w:type="pct"/>
            <w:noWrap/>
            <w:vAlign w:val="center"/>
            <w:hideMark/>
          </w:tcPr>
          <w:p w:rsidRPr="001D4A4A" w:rsidR="00D233FF" w:rsidP="00D97D31" w:rsidRDefault="00D233FF" w14:paraId="6B2B4008" w14:textId="77777777">
            <w:pPr>
              <w:suppressAutoHyphens w:val="0"/>
              <w:spacing w:after="0"/>
              <w:jc w:val="center"/>
              <w:rPr>
                <w:rFonts w:ascii="Calibri" w:hAnsi="Calibri" w:eastAsia="Times New Roman" w:cs="Calibri"/>
                <w:color w:val="000000"/>
                <w:lang w:eastAsia="es-CO"/>
              </w:rPr>
            </w:pPr>
            <w:r w:rsidRPr="001D4A4A">
              <w:rPr>
                <w:rFonts w:ascii="Calibri" w:hAnsi="Calibri" w:eastAsia="Times New Roman" w:cs="Calibri"/>
                <w:color w:val="000000"/>
                <w:lang w:eastAsia="es-CO"/>
              </w:rPr>
              <w:t>719</w:t>
            </w:r>
          </w:p>
        </w:tc>
        <w:tc>
          <w:tcPr>
            <w:tcW w:w="1766" w:type="pct"/>
            <w:noWrap/>
            <w:vAlign w:val="center"/>
            <w:hideMark/>
          </w:tcPr>
          <w:p w:rsidRPr="001D4A4A" w:rsidR="00D233FF" w:rsidP="00D97D31" w:rsidRDefault="00D233FF" w14:paraId="75445C54" w14:textId="77777777">
            <w:pPr>
              <w:suppressAutoHyphens w:val="0"/>
              <w:spacing w:after="0"/>
              <w:jc w:val="center"/>
              <w:rPr>
                <w:rFonts w:ascii="Calibri" w:hAnsi="Calibri" w:eastAsia="Times New Roman" w:cs="Calibri"/>
                <w:color w:val="000000"/>
                <w:lang w:eastAsia="es-CO"/>
              </w:rPr>
            </w:pPr>
            <w:r w:rsidRPr="001D4A4A">
              <w:rPr>
                <w:rFonts w:ascii="Calibri" w:hAnsi="Calibri" w:eastAsia="Times New Roman" w:cs="Calibri"/>
                <w:color w:val="000000"/>
                <w:lang w:eastAsia="es-CO"/>
              </w:rPr>
              <w:t>0</w:t>
            </w:r>
          </w:p>
        </w:tc>
        <w:tc>
          <w:tcPr>
            <w:tcW w:w="1168" w:type="pct"/>
            <w:noWrap/>
            <w:vAlign w:val="center"/>
            <w:hideMark/>
          </w:tcPr>
          <w:p w:rsidRPr="001D4A4A" w:rsidR="00D233FF" w:rsidP="00D97D31" w:rsidRDefault="00D233FF" w14:paraId="5A96F23B" w14:textId="77777777">
            <w:pPr>
              <w:suppressAutoHyphens w:val="0"/>
              <w:spacing w:after="0"/>
              <w:jc w:val="center"/>
              <w:rPr>
                <w:rFonts w:ascii="Calibri" w:hAnsi="Calibri" w:eastAsia="Times New Roman" w:cs="Calibri"/>
                <w:color w:val="000000"/>
                <w:lang w:eastAsia="es-CO"/>
              </w:rPr>
            </w:pPr>
            <w:r w:rsidRPr="001D4A4A">
              <w:rPr>
                <w:rFonts w:ascii="Calibri" w:hAnsi="Calibri" w:eastAsia="Times New Roman" w:cs="Calibri"/>
                <w:color w:val="000000"/>
                <w:lang w:eastAsia="es-CO"/>
              </w:rPr>
              <w:t>$      3.413.475.515,00</w:t>
            </w:r>
          </w:p>
        </w:tc>
      </w:tr>
      <w:tr w:rsidRPr="001D4A4A" w:rsidR="00D233FF" w:rsidTr="009B3E82" w14:paraId="49898D8C" w14:textId="77777777">
        <w:trPr>
          <w:trHeight w:val="288"/>
        </w:trPr>
        <w:tc>
          <w:tcPr>
            <w:tcW w:w="795" w:type="pct"/>
            <w:shd w:val="clear" w:color="auto" w:fill="D9E2F3" w:themeFill="accent1" w:themeFillTint="33"/>
            <w:noWrap/>
            <w:vAlign w:val="center"/>
            <w:hideMark/>
          </w:tcPr>
          <w:p w:rsidRPr="001D4A4A" w:rsidR="00D233FF" w:rsidP="00D97D31" w:rsidRDefault="00D233FF" w14:paraId="4E2F6744" w14:textId="77777777">
            <w:pPr>
              <w:suppressAutoHyphens w:val="0"/>
              <w:spacing w:after="0"/>
              <w:jc w:val="center"/>
              <w:rPr>
                <w:rFonts w:ascii="Calibri" w:hAnsi="Calibri" w:eastAsia="Times New Roman" w:cs="Calibri"/>
                <w:b/>
                <w:bCs/>
                <w:color w:val="000000"/>
                <w:lang w:eastAsia="es-CO"/>
              </w:rPr>
            </w:pPr>
            <w:r w:rsidRPr="001D4A4A">
              <w:rPr>
                <w:rFonts w:ascii="Calibri" w:hAnsi="Calibri" w:eastAsia="Times New Roman" w:cs="Calibri"/>
                <w:b/>
                <w:bCs/>
                <w:color w:val="000000"/>
                <w:lang w:eastAsia="es-CO"/>
              </w:rPr>
              <w:t>Total</w:t>
            </w:r>
          </w:p>
        </w:tc>
        <w:tc>
          <w:tcPr>
            <w:tcW w:w="1271" w:type="pct"/>
            <w:shd w:val="clear" w:color="auto" w:fill="D9E2F3" w:themeFill="accent1" w:themeFillTint="33"/>
            <w:noWrap/>
            <w:vAlign w:val="center"/>
            <w:hideMark/>
          </w:tcPr>
          <w:p w:rsidRPr="001D4A4A" w:rsidR="00D233FF" w:rsidP="00D97D31" w:rsidRDefault="00D233FF" w14:paraId="0B9986A1" w14:textId="77777777">
            <w:pPr>
              <w:suppressAutoHyphens w:val="0"/>
              <w:spacing w:after="0"/>
              <w:jc w:val="center"/>
              <w:rPr>
                <w:rFonts w:ascii="Calibri" w:hAnsi="Calibri" w:eastAsia="Times New Roman" w:cs="Calibri"/>
                <w:b/>
                <w:bCs/>
                <w:color w:val="000000"/>
                <w:lang w:eastAsia="es-CO"/>
              </w:rPr>
            </w:pPr>
            <w:r w:rsidRPr="001D4A4A">
              <w:rPr>
                <w:rFonts w:ascii="Calibri" w:hAnsi="Calibri" w:eastAsia="Times New Roman" w:cs="Calibri"/>
                <w:b/>
                <w:bCs/>
                <w:color w:val="000000"/>
                <w:lang w:eastAsia="es-CO"/>
              </w:rPr>
              <w:t>33.603</w:t>
            </w:r>
          </w:p>
        </w:tc>
        <w:tc>
          <w:tcPr>
            <w:tcW w:w="1766" w:type="pct"/>
            <w:shd w:val="clear" w:color="auto" w:fill="D9E2F3" w:themeFill="accent1" w:themeFillTint="33"/>
            <w:noWrap/>
            <w:vAlign w:val="center"/>
            <w:hideMark/>
          </w:tcPr>
          <w:p w:rsidRPr="001D4A4A" w:rsidR="00D233FF" w:rsidP="00D97D31" w:rsidRDefault="00D233FF" w14:paraId="1BCE89AF" w14:textId="77777777">
            <w:pPr>
              <w:suppressAutoHyphens w:val="0"/>
              <w:spacing w:after="0"/>
              <w:jc w:val="center"/>
              <w:rPr>
                <w:rFonts w:ascii="Calibri" w:hAnsi="Calibri" w:eastAsia="Times New Roman" w:cs="Calibri"/>
                <w:b/>
                <w:bCs/>
                <w:color w:val="000000"/>
                <w:lang w:eastAsia="es-CO"/>
              </w:rPr>
            </w:pPr>
            <w:r w:rsidRPr="001D4A4A">
              <w:rPr>
                <w:rFonts w:ascii="Calibri" w:hAnsi="Calibri" w:eastAsia="Times New Roman" w:cs="Calibri"/>
                <w:b/>
                <w:bCs/>
                <w:color w:val="000000"/>
                <w:lang w:eastAsia="es-CO"/>
              </w:rPr>
              <w:t>26.373</w:t>
            </w:r>
          </w:p>
        </w:tc>
        <w:tc>
          <w:tcPr>
            <w:tcW w:w="1168" w:type="pct"/>
            <w:shd w:val="clear" w:color="auto" w:fill="D9E2F3" w:themeFill="accent1" w:themeFillTint="33"/>
            <w:noWrap/>
            <w:vAlign w:val="center"/>
            <w:hideMark/>
          </w:tcPr>
          <w:p w:rsidRPr="001D4A4A" w:rsidR="00D233FF" w:rsidP="00D97D31" w:rsidRDefault="00D233FF" w14:paraId="5D84C515" w14:textId="77777777">
            <w:pPr>
              <w:suppressAutoHyphens w:val="0"/>
              <w:spacing w:after="0"/>
              <w:jc w:val="center"/>
              <w:rPr>
                <w:rFonts w:ascii="Calibri" w:hAnsi="Calibri" w:eastAsia="Times New Roman" w:cs="Calibri"/>
                <w:b/>
                <w:bCs/>
                <w:color w:val="000000"/>
                <w:lang w:eastAsia="es-CO"/>
              </w:rPr>
            </w:pPr>
            <w:r w:rsidRPr="001D4A4A">
              <w:rPr>
                <w:rFonts w:ascii="Calibri" w:hAnsi="Calibri" w:eastAsia="Times New Roman" w:cs="Calibri"/>
                <w:b/>
                <w:bCs/>
                <w:color w:val="000000"/>
                <w:lang w:eastAsia="es-CO"/>
              </w:rPr>
              <w:t>$  109.729.600.102,00</w:t>
            </w:r>
          </w:p>
        </w:tc>
      </w:tr>
    </w:tbl>
    <w:p w:rsidR="00D233FF" w:rsidP="00D97D31" w:rsidRDefault="00D233FF" w14:paraId="3D08024F" w14:textId="77777777">
      <w:pPr>
        <w:spacing w:after="0"/>
        <w:jc w:val="center"/>
        <w:rPr>
          <w:sz w:val="18"/>
          <w:szCs w:val="18"/>
        </w:rPr>
      </w:pPr>
      <w:r w:rsidRPr="0F263A78">
        <w:rPr>
          <w:b/>
          <w:bCs/>
          <w:i/>
          <w:iCs/>
          <w:sz w:val="18"/>
          <w:szCs w:val="18"/>
        </w:rPr>
        <w:t>Fuente:</w:t>
      </w:r>
      <w:r w:rsidRPr="0F263A78">
        <w:rPr>
          <w:sz w:val="18"/>
          <w:szCs w:val="18"/>
        </w:rPr>
        <w:t xml:space="preserve"> Elaboración propia</w:t>
      </w:r>
    </w:p>
    <w:p w:rsidR="00896CF5" w:rsidP="00D97D31" w:rsidRDefault="00896CF5" w14:paraId="4609A542" w14:textId="28620380">
      <w:pPr>
        <w:spacing w:after="0"/>
        <w:jc w:val="both"/>
        <w:rPr>
          <w:rFonts w:ascii="Calibri" w:hAnsi="Calibri" w:cs="Calibri"/>
          <w:b/>
          <w:bCs/>
          <w:highlight w:val="yellow"/>
        </w:rPr>
      </w:pPr>
      <w:r w:rsidRPr="005207FC">
        <w:rPr>
          <w:b/>
          <w:bCs/>
          <w:sz w:val="18"/>
          <w:szCs w:val="18"/>
        </w:rPr>
        <w:t>Nota:</w:t>
      </w:r>
      <w:r>
        <w:rPr>
          <w:sz w:val="18"/>
          <w:szCs w:val="18"/>
        </w:rPr>
        <w:t xml:space="preserve"> Los usuarios asociados en la Tabla 9, fueron beneficiados de 9 contratos suscritos durante las vigencias </w:t>
      </w:r>
      <w:r w:rsidR="00975658">
        <w:rPr>
          <w:sz w:val="18"/>
          <w:szCs w:val="18"/>
        </w:rPr>
        <w:t>2024, 2025 y 2026</w:t>
      </w:r>
      <w:r w:rsidR="005207FC">
        <w:rPr>
          <w:sz w:val="18"/>
          <w:szCs w:val="18"/>
        </w:rPr>
        <w:t xml:space="preserve">. Estos fueron aprobados y viabilizados por la Unidad de Planeación Minero Energética. </w:t>
      </w:r>
    </w:p>
    <w:p w:rsidR="00F06059" w:rsidP="00D97D31" w:rsidRDefault="00F06059" w14:paraId="2ECFB5E3" w14:textId="7181926A">
      <w:pPr>
        <w:spacing w:beforeAutospacing="1" w:afterAutospacing="1"/>
        <w:jc w:val="both"/>
        <w:rPr>
          <w:highlight w:val="yellow"/>
        </w:rPr>
      </w:pPr>
      <w:r w:rsidRPr="008F56D1">
        <w:t>Ahora bien, en el marco de lo dispuesto en el artículo 1 del Decreto 0375 de 2026 el cual indica que:</w:t>
      </w:r>
    </w:p>
    <w:p w:rsidR="00D233FF" w:rsidP="00D97D31" w:rsidRDefault="00D233FF" w14:paraId="71029609" w14:textId="77777777">
      <w:pPr>
        <w:spacing w:beforeAutospacing="1" w:afterAutospacing="1"/>
        <w:ind w:left="708"/>
        <w:jc w:val="both"/>
        <w:rPr>
          <w:i/>
          <w:iCs/>
        </w:rPr>
      </w:pPr>
      <w:r w:rsidRPr="0F263A78">
        <w:rPr>
          <w:i/>
          <w:iCs/>
        </w:rPr>
        <w:t xml:space="preserve">“(…) Transición de planes, programas y proyectos eléctricos y de gas. El Ministerio de Minas y Energía a través de </w:t>
      </w:r>
      <w:proofErr w:type="spellStart"/>
      <w:r w:rsidRPr="0F263A78">
        <w:rPr>
          <w:i/>
          <w:iCs/>
        </w:rPr>
        <w:t>Fonenergía</w:t>
      </w:r>
      <w:proofErr w:type="spellEnd"/>
      <w:r w:rsidRPr="0F263A78">
        <w:rPr>
          <w:i/>
          <w:iCs/>
        </w:rPr>
        <w:t xml:space="preserve"> adquiere los derechos y obligaciones derivados de los recursos asignados y ejecutados mediante los Fondos FAER, FAZNI, PRONE y FECFGN.</w:t>
      </w:r>
    </w:p>
    <w:p w:rsidR="00D233FF" w:rsidP="00D97D31" w:rsidRDefault="00D233FF" w14:paraId="0B42B95B" w14:textId="77777777">
      <w:pPr>
        <w:spacing w:beforeAutospacing="1" w:afterAutospacing="1"/>
        <w:ind w:left="708"/>
        <w:jc w:val="both"/>
        <w:rPr>
          <w:i/>
          <w:iCs/>
        </w:rPr>
      </w:pPr>
      <w:r w:rsidRPr="0F263A78">
        <w:rPr>
          <w:i/>
          <w:iCs/>
        </w:rPr>
        <w:t xml:space="preserve">Los derechos y/u obligaciones que emanan de los planes, programas y/o proyectos que antes de la entrada en operación de </w:t>
      </w:r>
      <w:proofErr w:type="spellStart"/>
      <w:r w:rsidRPr="0F263A78">
        <w:rPr>
          <w:i/>
          <w:iCs/>
        </w:rPr>
        <w:t>Fonenergía</w:t>
      </w:r>
      <w:proofErr w:type="spellEnd"/>
      <w:r w:rsidRPr="0F263A78">
        <w:rPr>
          <w:i/>
          <w:iCs/>
        </w:rPr>
        <w:t xml:space="preserve"> se financiaban con los recursos de los fondos FAZNI, FAER, PRONE, FECFGN, continuarán en cabeza del Ministerio de Minas y Energía a través del </w:t>
      </w:r>
      <w:proofErr w:type="spellStart"/>
      <w:r w:rsidRPr="0F263A78">
        <w:rPr>
          <w:i/>
          <w:iCs/>
        </w:rPr>
        <w:t>Fonenergía</w:t>
      </w:r>
      <w:proofErr w:type="spellEnd"/>
      <w:r w:rsidRPr="0F263A78">
        <w:rPr>
          <w:i/>
          <w:iCs/>
        </w:rPr>
        <w:t>.</w:t>
      </w:r>
    </w:p>
    <w:p w:rsidR="00D233FF" w:rsidP="00D97D31" w:rsidRDefault="00D233FF" w14:paraId="19CD82B2" w14:textId="77777777">
      <w:pPr>
        <w:spacing w:beforeAutospacing="1" w:afterAutospacing="1"/>
        <w:ind w:left="708"/>
        <w:jc w:val="both"/>
        <w:rPr>
          <w:i/>
          <w:iCs/>
        </w:rPr>
      </w:pPr>
      <w:r w:rsidRPr="0F263A78">
        <w:rPr>
          <w:i/>
          <w:iCs/>
        </w:rPr>
        <w:t xml:space="preserve">Así mismo estos planes, programas y/o proyectos que a la entrada en operación de </w:t>
      </w:r>
      <w:proofErr w:type="spellStart"/>
      <w:r w:rsidRPr="0F263A78">
        <w:rPr>
          <w:i/>
          <w:iCs/>
        </w:rPr>
        <w:t>Fonenergía</w:t>
      </w:r>
      <w:proofErr w:type="spellEnd"/>
      <w:r w:rsidRPr="0F263A78">
        <w:rPr>
          <w:i/>
          <w:iCs/>
        </w:rPr>
        <w:t xml:space="preserve"> se encuentren evaluados y/o priorizados, pero respecto de los cuales no se haya asignado recursos por el Ministerio de Minas y Energía, deberán continuar su trámite ante el Comité de Administración de </w:t>
      </w:r>
      <w:proofErr w:type="spellStart"/>
      <w:r w:rsidRPr="0F263A78">
        <w:rPr>
          <w:i/>
          <w:iCs/>
        </w:rPr>
        <w:t>Fonenergía</w:t>
      </w:r>
      <w:proofErr w:type="spellEnd"/>
      <w:r w:rsidRPr="0F263A78">
        <w:rPr>
          <w:i/>
          <w:iCs/>
        </w:rPr>
        <w:t xml:space="preserve"> para su financiación, conservando su orden de priorización de acuerdo con el marco normativo aplicable al momento de su evaluación y/o lo dispuesto por el Manual Operativo (…)”</w:t>
      </w:r>
    </w:p>
    <w:p w:rsidRPr="00763169" w:rsidR="00763169" w:rsidP="00D97D31" w:rsidRDefault="00763169" w14:paraId="1E37A5B3" w14:textId="4EE797D8">
      <w:pPr>
        <w:spacing w:beforeAutospacing="1" w:afterAutospacing="1"/>
        <w:jc w:val="both"/>
      </w:pPr>
      <w:r>
        <w:t>Se pretende trasladar un valor de $ 85</w:t>
      </w:r>
      <w:r w:rsidR="00F90D3B">
        <w:t>.372.575.688</w:t>
      </w:r>
      <w:r>
        <w:t xml:space="preserve"> para continuar con las actividades de a</w:t>
      </w:r>
      <w:r w:rsidRPr="00A0106C">
        <w:t>signa</w:t>
      </w:r>
      <w:r>
        <w:t>ción de</w:t>
      </w:r>
      <w:r w:rsidRPr="00A0106C">
        <w:t xml:space="preserve"> recursos para financiar soluciones energéticas de planes, programas o proyectos priorizados </w:t>
      </w:r>
      <w:r>
        <w:t>presentes en FONENERGIA.</w:t>
      </w:r>
    </w:p>
    <w:p w:rsidR="00D233FF" w:rsidP="00D97D31" w:rsidRDefault="00D233FF" w14:paraId="7C1BA7B3" w14:textId="77777777">
      <w:pPr>
        <w:spacing w:beforeAutospacing="1" w:afterAutospacing="1"/>
        <w:jc w:val="both"/>
      </w:pPr>
      <w:r>
        <w:t>Razón por la cual, la meta se ve afectada y los 4.652 usuarios pendientes de beneficio serán trasladados al proyecto de inversión acreditado que contempla la financiación de proyectos de inversión y la estructuración de los mismos; dado que su objetivo es aumentar la capacidad de la red eléctrica, el rubro a trasladar estará orientado a brindar soluciones energéticas a través de los proyectos que actualmente ya cuentan con concepto FAVORABLE ya que el objeto de FONENERGÍA es la mejora de la calidad en el servicio, la expansión de la cobertura energética y la normalización de redes a través de soluciones de energía eléctrica.</w:t>
      </w:r>
    </w:p>
    <w:p w:rsidRPr="009D13BA" w:rsidR="00D233FF" w:rsidP="00D97D31" w:rsidRDefault="00D233FF" w14:paraId="4BFD7157" w14:textId="77777777">
      <w:pPr>
        <w:jc w:val="center"/>
        <w:rPr>
          <w:rFonts w:ascii="Calibri" w:hAnsi="Calibri" w:cs="Calibri"/>
          <w:b/>
          <w:bCs/>
        </w:rPr>
      </w:pPr>
      <w:r w:rsidRPr="009D13BA">
        <w:rPr>
          <w:rFonts w:ascii="Calibri" w:hAnsi="Calibri" w:cs="Calibri"/>
          <w:b/>
          <w:bCs/>
        </w:rPr>
        <w:t>Tabla 10. Resumen del movimiento de recursos del proyecto de inversión BPIN 2018011001048</w:t>
      </w:r>
    </w:p>
    <w:tbl>
      <w:tblPr>
        <w:tblW w:w="0" w:type="auto"/>
        <w:tblLayout w:type="fixed"/>
        <w:tblLook w:val="06A0" w:firstRow="1" w:lastRow="0" w:firstColumn="1" w:lastColumn="0" w:noHBand="1" w:noVBand="1"/>
      </w:tblPr>
      <w:tblGrid>
        <w:gridCol w:w="3114"/>
        <w:gridCol w:w="1417"/>
        <w:gridCol w:w="1560"/>
        <w:gridCol w:w="1086"/>
        <w:gridCol w:w="898"/>
        <w:gridCol w:w="1319"/>
      </w:tblGrid>
      <w:tr w:rsidRPr="00DD47A3" w:rsidR="00D233FF" w:rsidTr="009B3E82" w14:paraId="0F21373B" w14:textId="77777777">
        <w:trPr>
          <w:trHeight w:val="285"/>
        </w:trPr>
        <w:tc>
          <w:tcPr>
            <w:tcW w:w="311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vAlign w:val="center"/>
          </w:tcPr>
          <w:p w:rsidRPr="00DD47A3" w:rsidR="00D233FF" w:rsidP="00D97D31" w:rsidRDefault="00D233FF" w14:paraId="54F2056C" w14:textId="77777777">
            <w:pPr>
              <w:spacing w:after="0"/>
              <w:jc w:val="center"/>
              <w:rPr>
                <w:rFonts w:ascii="Calibri" w:hAnsi="Calibri" w:eastAsia="Calibri" w:cs="Calibri"/>
                <w:b/>
                <w:bCs/>
                <w:color w:val="000000" w:themeColor="text1"/>
                <w:sz w:val="18"/>
                <w:szCs w:val="18"/>
              </w:rPr>
            </w:pPr>
            <w:r w:rsidRPr="00DD47A3">
              <w:rPr>
                <w:rFonts w:ascii="Calibri" w:hAnsi="Calibri" w:eastAsia="Calibri" w:cs="Calibri"/>
                <w:b/>
                <w:bCs/>
                <w:color w:val="000000" w:themeColor="text1"/>
                <w:sz w:val="18"/>
                <w:szCs w:val="18"/>
              </w:rPr>
              <w:t>Actividad</w:t>
            </w:r>
          </w:p>
        </w:tc>
        <w:tc>
          <w:tcPr>
            <w:tcW w:w="141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vAlign w:val="center"/>
          </w:tcPr>
          <w:p w:rsidRPr="00DD47A3" w:rsidR="00D233FF" w:rsidP="00D97D31" w:rsidRDefault="00D233FF" w14:paraId="63C6F2DF" w14:textId="77777777">
            <w:pPr>
              <w:spacing w:after="0"/>
              <w:jc w:val="center"/>
              <w:rPr>
                <w:rFonts w:ascii="Calibri" w:hAnsi="Calibri" w:eastAsia="Calibri" w:cs="Calibri"/>
                <w:b/>
                <w:bCs/>
                <w:color w:val="000000" w:themeColor="text1"/>
                <w:sz w:val="18"/>
                <w:szCs w:val="18"/>
              </w:rPr>
            </w:pPr>
            <w:r w:rsidRPr="00DD47A3">
              <w:rPr>
                <w:rFonts w:ascii="Calibri" w:hAnsi="Calibri" w:eastAsia="Calibri" w:cs="Calibri"/>
                <w:b/>
                <w:bCs/>
                <w:color w:val="000000" w:themeColor="text1"/>
                <w:sz w:val="18"/>
                <w:szCs w:val="18"/>
              </w:rPr>
              <w:t>Vigente</w:t>
            </w:r>
          </w:p>
        </w:tc>
        <w:tc>
          <w:tcPr>
            <w:tcW w:w="156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vAlign w:val="center"/>
          </w:tcPr>
          <w:p w:rsidRPr="00DD47A3" w:rsidR="00D233FF" w:rsidP="00D97D31" w:rsidRDefault="00D233FF" w14:paraId="626051C4" w14:textId="77777777">
            <w:pPr>
              <w:spacing w:after="0"/>
              <w:jc w:val="center"/>
              <w:rPr>
                <w:rFonts w:ascii="Calibri" w:hAnsi="Calibri" w:eastAsia="Calibri" w:cs="Calibri"/>
                <w:b/>
                <w:bCs/>
                <w:color w:val="000000" w:themeColor="text1"/>
                <w:sz w:val="18"/>
                <w:szCs w:val="18"/>
              </w:rPr>
            </w:pPr>
            <w:r w:rsidRPr="00DD47A3">
              <w:rPr>
                <w:rFonts w:ascii="Calibri" w:hAnsi="Calibri" w:eastAsia="Calibri" w:cs="Calibri"/>
                <w:b/>
                <w:bCs/>
                <w:color w:val="000000" w:themeColor="text1"/>
                <w:sz w:val="18"/>
                <w:szCs w:val="18"/>
              </w:rPr>
              <w:t>Compromiso</w:t>
            </w:r>
          </w:p>
        </w:tc>
        <w:tc>
          <w:tcPr>
            <w:tcW w:w="108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vAlign w:val="center"/>
          </w:tcPr>
          <w:p w:rsidRPr="00DD47A3" w:rsidR="00D233FF" w:rsidP="00D97D31" w:rsidRDefault="00D233FF" w14:paraId="242DB69A" w14:textId="77777777">
            <w:pPr>
              <w:spacing w:after="0"/>
              <w:jc w:val="center"/>
              <w:rPr>
                <w:rFonts w:ascii="Calibri" w:hAnsi="Calibri" w:eastAsia="Calibri" w:cs="Calibri"/>
                <w:b/>
                <w:bCs/>
                <w:color w:val="000000" w:themeColor="text1"/>
                <w:sz w:val="18"/>
                <w:szCs w:val="18"/>
              </w:rPr>
            </w:pPr>
            <w:r w:rsidRPr="00DD47A3">
              <w:rPr>
                <w:rFonts w:ascii="Calibri" w:hAnsi="Calibri" w:eastAsia="Calibri" w:cs="Calibri"/>
                <w:b/>
                <w:bCs/>
                <w:color w:val="000000" w:themeColor="text1"/>
                <w:sz w:val="18"/>
                <w:szCs w:val="18"/>
              </w:rPr>
              <w:t>Contra</w:t>
            </w:r>
          </w:p>
          <w:p w:rsidRPr="00DD47A3" w:rsidR="00D233FF" w:rsidP="00D97D31" w:rsidRDefault="00D233FF" w14:paraId="08C30917" w14:textId="77777777">
            <w:pPr>
              <w:spacing w:after="0"/>
              <w:jc w:val="center"/>
              <w:rPr>
                <w:rFonts w:ascii="Calibri" w:hAnsi="Calibri" w:eastAsia="Calibri" w:cs="Calibri"/>
                <w:b/>
                <w:bCs/>
                <w:color w:val="000000" w:themeColor="text1"/>
                <w:sz w:val="18"/>
                <w:szCs w:val="18"/>
              </w:rPr>
            </w:pPr>
            <w:r w:rsidRPr="00DD47A3">
              <w:rPr>
                <w:rFonts w:ascii="Calibri" w:hAnsi="Calibri" w:eastAsia="Calibri" w:cs="Calibri"/>
                <w:b/>
                <w:bCs/>
                <w:color w:val="000000" w:themeColor="text1"/>
                <w:sz w:val="18"/>
                <w:szCs w:val="18"/>
              </w:rPr>
              <w:t>crédito</w:t>
            </w:r>
          </w:p>
        </w:tc>
        <w:tc>
          <w:tcPr>
            <w:tcW w:w="89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vAlign w:val="center"/>
          </w:tcPr>
          <w:p w:rsidRPr="00DD47A3" w:rsidR="00D233FF" w:rsidP="00D97D31" w:rsidRDefault="00D233FF" w14:paraId="3D407459" w14:textId="77777777">
            <w:pPr>
              <w:jc w:val="center"/>
              <w:rPr>
                <w:rFonts w:ascii="Calibri" w:hAnsi="Calibri" w:eastAsia="Calibri" w:cs="Calibri"/>
                <w:b/>
                <w:bCs/>
                <w:color w:val="000000" w:themeColor="text1"/>
                <w:sz w:val="18"/>
                <w:szCs w:val="18"/>
              </w:rPr>
            </w:pPr>
            <w:r w:rsidRPr="00DD47A3">
              <w:rPr>
                <w:rFonts w:ascii="Calibri" w:hAnsi="Calibri" w:eastAsia="Calibri" w:cs="Calibri"/>
                <w:b/>
                <w:bCs/>
                <w:color w:val="000000" w:themeColor="text1"/>
                <w:sz w:val="18"/>
                <w:szCs w:val="18"/>
              </w:rPr>
              <w:t>Crédito</w:t>
            </w:r>
          </w:p>
        </w:tc>
        <w:tc>
          <w:tcPr>
            <w:tcW w:w="131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vAlign w:val="center"/>
          </w:tcPr>
          <w:p w:rsidRPr="00DD47A3" w:rsidR="00D233FF" w:rsidP="00D97D31" w:rsidRDefault="00D233FF" w14:paraId="6CBC4EA0" w14:textId="77777777">
            <w:pPr>
              <w:ind w:left="-106" w:right="-61"/>
              <w:jc w:val="center"/>
              <w:rPr>
                <w:rFonts w:ascii="Calibri" w:hAnsi="Calibri" w:eastAsia="Calibri" w:cs="Calibri"/>
                <w:b/>
                <w:bCs/>
                <w:color w:val="000000" w:themeColor="text1"/>
                <w:sz w:val="18"/>
                <w:szCs w:val="18"/>
              </w:rPr>
            </w:pPr>
            <w:r w:rsidRPr="00DD47A3">
              <w:rPr>
                <w:rFonts w:ascii="Calibri" w:hAnsi="Calibri" w:eastAsia="Calibri" w:cs="Calibri"/>
                <w:b/>
                <w:bCs/>
                <w:color w:val="000000" w:themeColor="text1"/>
                <w:sz w:val="18"/>
                <w:szCs w:val="18"/>
              </w:rPr>
              <w:t>Valor después del movimiento</w:t>
            </w:r>
          </w:p>
        </w:tc>
      </w:tr>
      <w:tr w:rsidRPr="00DD47A3" w:rsidR="00D233FF" w:rsidTr="009B3E82" w14:paraId="43F2670F" w14:textId="77777777">
        <w:trPr>
          <w:trHeight w:val="975"/>
        </w:trPr>
        <w:tc>
          <w:tcPr>
            <w:tcW w:w="311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D47A3" w:rsidR="00D233FF" w:rsidP="00D97D31" w:rsidRDefault="00D233FF" w14:paraId="08508384" w14:textId="77777777">
            <w:pPr>
              <w:spacing w:after="0"/>
              <w:jc w:val="both"/>
              <w:rPr>
                <w:rFonts w:ascii="Calibri" w:hAnsi="Calibri" w:eastAsia="Calibri" w:cs="Calibri"/>
                <w:color w:val="000000" w:themeColor="text1"/>
                <w:sz w:val="18"/>
                <w:szCs w:val="18"/>
              </w:rPr>
            </w:pPr>
            <w:r w:rsidRPr="00DD47A3">
              <w:rPr>
                <w:rFonts w:ascii="Calibri" w:hAnsi="Calibri" w:eastAsia="Calibri" w:cs="Calibri"/>
                <w:color w:val="000000" w:themeColor="text1"/>
                <w:sz w:val="18"/>
                <w:szCs w:val="18"/>
              </w:rPr>
              <w:t>1.1.1 Asignar los recursos para financiar planes, programas o proyectos de inversión priorizados para la construcción e instalación de infraestructura eléctrica en las zonas rurales interconectadas, que permitan el mejoramiento del servicio de energía eléctrica.</w:t>
            </w:r>
          </w:p>
        </w:tc>
        <w:tc>
          <w:tcPr>
            <w:tcW w:w="1417"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D47A3" w:rsidR="00D233FF" w:rsidP="00D97D31" w:rsidRDefault="00D233FF" w14:paraId="13D21175" w14:textId="77777777">
            <w:pPr>
              <w:spacing w:after="0"/>
              <w:jc w:val="center"/>
              <w:rPr>
                <w:rFonts w:ascii="Calibri" w:hAnsi="Calibri" w:eastAsia="Calibri" w:cs="Calibri"/>
                <w:color w:val="000000" w:themeColor="text1"/>
                <w:sz w:val="18"/>
                <w:szCs w:val="18"/>
              </w:rPr>
            </w:pPr>
            <w:r w:rsidRPr="00DD47A3">
              <w:rPr>
                <w:rFonts w:ascii="Calibri" w:hAnsi="Calibri" w:eastAsia="Calibri" w:cs="Calibri"/>
                <w:color w:val="000000" w:themeColor="text1"/>
                <w:sz w:val="18"/>
                <w:szCs w:val="18"/>
              </w:rPr>
              <w:t>---</w:t>
            </w:r>
          </w:p>
        </w:tc>
        <w:tc>
          <w:tcPr>
            <w:tcW w:w="156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D47A3" w:rsidR="00D233FF" w:rsidP="00D97D31" w:rsidRDefault="00D233FF" w14:paraId="7CF47950" w14:textId="77777777">
            <w:pPr>
              <w:spacing w:after="0"/>
              <w:jc w:val="center"/>
              <w:rPr>
                <w:rFonts w:ascii="Calibri" w:hAnsi="Calibri" w:eastAsia="Calibri" w:cs="Calibri"/>
                <w:color w:val="000000" w:themeColor="text1"/>
                <w:sz w:val="18"/>
                <w:szCs w:val="18"/>
              </w:rPr>
            </w:pPr>
            <w:r w:rsidRPr="00DD47A3">
              <w:rPr>
                <w:rFonts w:ascii="Calibri" w:hAnsi="Calibri" w:eastAsia="Calibri" w:cs="Calibri"/>
                <w:color w:val="000000" w:themeColor="text1"/>
                <w:sz w:val="18"/>
                <w:szCs w:val="18"/>
              </w:rPr>
              <w:t>---</w:t>
            </w:r>
          </w:p>
        </w:tc>
        <w:tc>
          <w:tcPr>
            <w:tcW w:w="108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D47A3" w:rsidR="00D233FF" w:rsidP="00D97D31" w:rsidRDefault="00D233FF" w14:paraId="49DEDAAA" w14:textId="77777777">
            <w:pPr>
              <w:jc w:val="center"/>
              <w:rPr>
                <w:rFonts w:ascii="Calibri" w:hAnsi="Calibri" w:eastAsia="Calibri" w:cs="Calibri"/>
                <w:color w:val="000000" w:themeColor="text1"/>
                <w:sz w:val="18"/>
                <w:szCs w:val="18"/>
              </w:rPr>
            </w:pPr>
          </w:p>
        </w:tc>
        <w:tc>
          <w:tcPr>
            <w:tcW w:w="89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D47A3" w:rsidR="00D233FF" w:rsidP="00D97D31" w:rsidRDefault="00D233FF" w14:paraId="0577751E" w14:textId="77777777">
            <w:pPr>
              <w:jc w:val="center"/>
              <w:rPr>
                <w:rFonts w:ascii="Calibri" w:hAnsi="Calibri" w:eastAsia="Calibri" w:cs="Calibri"/>
                <w:color w:val="000000" w:themeColor="text1"/>
                <w:sz w:val="18"/>
                <w:szCs w:val="18"/>
              </w:rPr>
            </w:pPr>
          </w:p>
        </w:tc>
        <w:tc>
          <w:tcPr>
            <w:tcW w:w="131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D47A3" w:rsidR="00D233FF" w:rsidP="00D97D31" w:rsidRDefault="00D233FF" w14:paraId="52D4ACB4" w14:textId="77777777">
            <w:pPr>
              <w:jc w:val="center"/>
              <w:rPr>
                <w:rFonts w:ascii="Calibri" w:hAnsi="Calibri" w:eastAsia="Calibri" w:cs="Calibri"/>
                <w:color w:val="000000" w:themeColor="text1"/>
                <w:sz w:val="18"/>
                <w:szCs w:val="18"/>
              </w:rPr>
            </w:pPr>
          </w:p>
        </w:tc>
      </w:tr>
      <w:tr w:rsidRPr="00DD47A3" w:rsidR="00D233FF" w:rsidTr="009B3E82" w14:paraId="013CAFDF" w14:textId="77777777">
        <w:trPr>
          <w:trHeight w:val="735"/>
        </w:trPr>
        <w:tc>
          <w:tcPr>
            <w:tcW w:w="311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D47A3" w:rsidR="00D233FF" w:rsidP="00D97D31" w:rsidRDefault="00D233FF" w14:paraId="456872FB" w14:textId="77777777">
            <w:pPr>
              <w:spacing w:after="0"/>
              <w:jc w:val="both"/>
              <w:rPr>
                <w:rFonts w:ascii="Calibri" w:hAnsi="Calibri" w:eastAsia="Calibri" w:cs="Calibri"/>
                <w:color w:val="000000" w:themeColor="text1"/>
                <w:sz w:val="18"/>
                <w:szCs w:val="18"/>
              </w:rPr>
            </w:pPr>
            <w:r w:rsidRPr="00DD47A3">
              <w:rPr>
                <w:rFonts w:ascii="Calibri" w:hAnsi="Calibri" w:eastAsia="Calibri" w:cs="Calibri"/>
                <w:color w:val="000000" w:themeColor="text1"/>
                <w:sz w:val="18"/>
                <w:szCs w:val="18"/>
              </w:rPr>
              <w:t>1.1.2 Asignar los recursos para financiar planes, programas o proyectos de inversión priorizados para la construcción e instalación de</w:t>
            </w:r>
            <w:r w:rsidRPr="00DD47A3">
              <w:rPr>
                <w:rFonts w:ascii="Calibri" w:hAnsi="Calibri" w:eastAsia="Calibri" w:cs="Calibri"/>
                <w:b/>
                <w:bCs/>
                <w:color w:val="000000" w:themeColor="text1"/>
                <w:sz w:val="18"/>
                <w:szCs w:val="18"/>
              </w:rPr>
              <w:t xml:space="preserve"> nueva infraestructura</w:t>
            </w:r>
            <w:r w:rsidRPr="00DD47A3">
              <w:rPr>
                <w:rFonts w:ascii="Calibri" w:hAnsi="Calibri" w:eastAsia="Calibri" w:cs="Calibri"/>
                <w:color w:val="000000" w:themeColor="text1"/>
                <w:sz w:val="18"/>
                <w:szCs w:val="18"/>
              </w:rPr>
              <w:t xml:space="preserve"> eléctrica en las zonas rurales interconectadas, que permita ampliar la cobertura y procurar la satisfacción de la demanda de energía.</w:t>
            </w:r>
          </w:p>
        </w:tc>
        <w:tc>
          <w:tcPr>
            <w:tcW w:w="1417"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D47A3" w:rsidR="00D233FF" w:rsidP="00D97D31" w:rsidRDefault="00D233FF" w14:paraId="530FDA6E" w14:textId="77777777">
            <w:pPr>
              <w:spacing w:after="0"/>
              <w:ind w:left="-104" w:right="-101"/>
              <w:jc w:val="center"/>
              <w:rPr>
                <w:rFonts w:ascii="Calibri" w:hAnsi="Calibri" w:eastAsia="Calibri" w:cs="Calibri"/>
                <w:color w:val="000000" w:themeColor="text1"/>
                <w:sz w:val="18"/>
                <w:szCs w:val="18"/>
              </w:rPr>
            </w:pPr>
            <w:r w:rsidRPr="00DD47A3">
              <w:rPr>
                <w:rFonts w:ascii="Calibri" w:hAnsi="Calibri" w:eastAsia="Calibri" w:cs="Calibri"/>
                <w:color w:val="000000" w:themeColor="text1"/>
                <w:sz w:val="18"/>
                <w:szCs w:val="18"/>
              </w:rPr>
              <w:t>$ 195.160.000.000</w:t>
            </w:r>
          </w:p>
        </w:tc>
        <w:tc>
          <w:tcPr>
            <w:tcW w:w="156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D47A3" w:rsidR="00D233FF" w:rsidP="00D97D31" w:rsidRDefault="00D233FF" w14:paraId="223B803C" w14:textId="77777777">
            <w:pPr>
              <w:spacing w:after="0"/>
              <w:ind w:left="-111" w:right="-109"/>
              <w:jc w:val="center"/>
              <w:rPr>
                <w:rFonts w:ascii="Calibri" w:hAnsi="Calibri" w:eastAsia="Calibri" w:cs="Calibri"/>
                <w:color w:val="000000" w:themeColor="text1"/>
                <w:sz w:val="18"/>
                <w:szCs w:val="18"/>
              </w:rPr>
            </w:pPr>
            <w:r w:rsidRPr="00DD47A3">
              <w:rPr>
                <w:rFonts w:ascii="Calibri" w:hAnsi="Calibri" w:eastAsia="Calibri" w:cs="Calibri"/>
                <w:color w:val="000000" w:themeColor="text1"/>
                <w:sz w:val="18"/>
                <w:szCs w:val="18"/>
              </w:rPr>
              <w:t>$ 109.729.600.102</w:t>
            </w:r>
          </w:p>
        </w:tc>
        <w:tc>
          <w:tcPr>
            <w:tcW w:w="108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D47A3" w:rsidR="00D233FF" w:rsidP="00D97D31" w:rsidRDefault="00D233FF" w14:paraId="5FB34234" w14:textId="77777777">
            <w:pPr>
              <w:jc w:val="center"/>
              <w:rPr>
                <w:rFonts w:ascii="Calibri" w:hAnsi="Calibri" w:eastAsia="Calibri" w:cs="Calibri"/>
                <w:color w:val="000000" w:themeColor="text1"/>
                <w:sz w:val="18"/>
                <w:szCs w:val="18"/>
              </w:rPr>
            </w:pPr>
          </w:p>
        </w:tc>
        <w:tc>
          <w:tcPr>
            <w:tcW w:w="89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D47A3" w:rsidR="00D233FF" w:rsidP="00D97D31" w:rsidRDefault="00D233FF" w14:paraId="7AFFBEDF" w14:textId="77777777">
            <w:pPr>
              <w:jc w:val="center"/>
              <w:rPr>
                <w:rFonts w:ascii="Calibri" w:hAnsi="Calibri" w:eastAsia="Calibri" w:cs="Calibri"/>
                <w:color w:val="000000" w:themeColor="text1"/>
                <w:sz w:val="18"/>
                <w:szCs w:val="18"/>
              </w:rPr>
            </w:pPr>
          </w:p>
        </w:tc>
        <w:tc>
          <w:tcPr>
            <w:tcW w:w="131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D47A3" w:rsidR="00D233FF" w:rsidP="00D97D31" w:rsidRDefault="00D233FF" w14:paraId="404A6620" w14:textId="77777777">
            <w:pPr>
              <w:jc w:val="center"/>
              <w:rPr>
                <w:rFonts w:ascii="Calibri" w:hAnsi="Calibri" w:eastAsia="Calibri" w:cs="Calibri"/>
                <w:color w:val="000000" w:themeColor="text1"/>
                <w:sz w:val="18"/>
                <w:szCs w:val="18"/>
              </w:rPr>
            </w:pPr>
          </w:p>
        </w:tc>
      </w:tr>
      <w:tr w:rsidRPr="00DD47A3" w:rsidR="00D233FF" w:rsidTr="009B3E82" w14:paraId="604D5609" w14:textId="77777777">
        <w:trPr>
          <w:trHeight w:val="720"/>
        </w:trPr>
        <w:tc>
          <w:tcPr>
            <w:tcW w:w="311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D47A3" w:rsidR="00D233FF" w:rsidP="00D97D31" w:rsidRDefault="00D233FF" w14:paraId="1033B41D" w14:textId="77777777">
            <w:pPr>
              <w:spacing w:after="0"/>
              <w:jc w:val="both"/>
              <w:rPr>
                <w:rFonts w:ascii="Calibri" w:hAnsi="Calibri" w:eastAsia="Calibri" w:cs="Calibri"/>
                <w:color w:val="000000" w:themeColor="text1"/>
                <w:sz w:val="18"/>
                <w:szCs w:val="18"/>
              </w:rPr>
            </w:pPr>
            <w:r w:rsidRPr="00DD47A3">
              <w:rPr>
                <w:rFonts w:ascii="Calibri" w:hAnsi="Calibri" w:eastAsia="Calibri" w:cs="Calibri"/>
                <w:color w:val="000000" w:themeColor="text1"/>
                <w:sz w:val="18"/>
                <w:szCs w:val="18"/>
              </w:rPr>
              <w:t>1.1.3 Girar recursos para la promoción y</w:t>
            </w:r>
            <w:r w:rsidRPr="00DD47A3">
              <w:rPr>
                <w:rFonts w:ascii="Calibri" w:hAnsi="Calibri" w:eastAsia="Calibri" w:cs="Calibri"/>
                <w:b/>
                <w:bCs/>
                <w:color w:val="000000" w:themeColor="text1"/>
                <w:sz w:val="18"/>
                <w:szCs w:val="18"/>
              </w:rPr>
              <w:t xml:space="preserve"> capacitación</w:t>
            </w:r>
            <w:r w:rsidRPr="00DD47A3">
              <w:rPr>
                <w:rFonts w:ascii="Calibri" w:hAnsi="Calibri" w:eastAsia="Calibri" w:cs="Calibri"/>
                <w:color w:val="000000" w:themeColor="text1"/>
                <w:sz w:val="18"/>
                <w:szCs w:val="18"/>
              </w:rPr>
              <w:t xml:space="preserve"> en el uso adecuado de la energía para su sostenibilidad.</w:t>
            </w:r>
          </w:p>
        </w:tc>
        <w:tc>
          <w:tcPr>
            <w:tcW w:w="1417"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D47A3" w:rsidR="00D233FF" w:rsidP="00D97D31" w:rsidRDefault="00D233FF" w14:paraId="2A91758F" w14:textId="77777777">
            <w:pPr>
              <w:spacing w:after="0"/>
              <w:jc w:val="center"/>
              <w:rPr>
                <w:rFonts w:ascii="Calibri" w:hAnsi="Calibri" w:eastAsia="Calibri" w:cs="Calibri"/>
                <w:color w:val="000000" w:themeColor="text1"/>
                <w:sz w:val="18"/>
                <w:szCs w:val="18"/>
              </w:rPr>
            </w:pPr>
            <w:r w:rsidRPr="00DD47A3">
              <w:rPr>
                <w:rFonts w:ascii="Calibri" w:hAnsi="Calibri" w:eastAsia="Calibri" w:cs="Calibri"/>
                <w:color w:val="000000" w:themeColor="text1"/>
                <w:sz w:val="18"/>
                <w:szCs w:val="18"/>
              </w:rPr>
              <w:t>$ 440.000.000</w:t>
            </w:r>
          </w:p>
        </w:tc>
        <w:tc>
          <w:tcPr>
            <w:tcW w:w="156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D47A3" w:rsidR="00D233FF" w:rsidP="00D97D31" w:rsidRDefault="00D233FF" w14:paraId="2957B6B2" w14:textId="77777777">
            <w:pPr>
              <w:spacing w:after="0"/>
              <w:jc w:val="center"/>
              <w:rPr>
                <w:rFonts w:ascii="Calibri" w:hAnsi="Calibri" w:eastAsia="Calibri" w:cs="Calibri"/>
                <w:color w:val="000000" w:themeColor="text1"/>
                <w:sz w:val="18"/>
                <w:szCs w:val="18"/>
              </w:rPr>
            </w:pPr>
            <w:r w:rsidRPr="00DD47A3">
              <w:rPr>
                <w:rFonts w:ascii="Calibri" w:hAnsi="Calibri" w:eastAsia="Calibri" w:cs="Calibri"/>
                <w:color w:val="000000" w:themeColor="text1"/>
                <w:sz w:val="18"/>
                <w:szCs w:val="18"/>
              </w:rPr>
              <w:t>-</w:t>
            </w:r>
          </w:p>
        </w:tc>
        <w:tc>
          <w:tcPr>
            <w:tcW w:w="108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D47A3" w:rsidR="00D233FF" w:rsidP="00D97D31" w:rsidRDefault="00D233FF" w14:paraId="25088E4A" w14:textId="77777777">
            <w:pPr>
              <w:jc w:val="center"/>
              <w:rPr>
                <w:sz w:val="18"/>
                <w:szCs w:val="18"/>
              </w:rPr>
            </w:pPr>
            <w:r w:rsidRPr="00DD47A3">
              <w:rPr>
                <w:rFonts w:ascii="Calibri" w:hAnsi="Calibri" w:eastAsia="Calibri" w:cs="Calibri"/>
                <w:color w:val="000000" w:themeColor="text1"/>
                <w:sz w:val="18"/>
                <w:szCs w:val="18"/>
              </w:rPr>
              <w:t>$ 6.246.384.751</w:t>
            </w:r>
          </w:p>
        </w:tc>
        <w:tc>
          <w:tcPr>
            <w:tcW w:w="89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D47A3" w:rsidR="00D233FF" w:rsidP="00D97D31" w:rsidRDefault="00D233FF" w14:paraId="544770E1" w14:textId="77777777">
            <w:pPr>
              <w:jc w:val="center"/>
              <w:rPr>
                <w:rFonts w:ascii="Calibri" w:hAnsi="Calibri" w:eastAsia="Calibri" w:cs="Calibri"/>
                <w:color w:val="000000" w:themeColor="text1"/>
                <w:sz w:val="18"/>
                <w:szCs w:val="18"/>
              </w:rPr>
            </w:pPr>
          </w:p>
        </w:tc>
        <w:tc>
          <w:tcPr>
            <w:tcW w:w="131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D47A3" w:rsidR="00D233FF" w:rsidP="00D97D31" w:rsidRDefault="00D233FF" w14:paraId="53C24E94" w14:textId="77777777">
            <w:pPr>
              <w:jc w:val="center"/>
              <w:rPr>
                <w:rFonts w:ascii="Calibri" w:hAnsi="Calibri" w:eastAsia="Calibri" w:cs="Calibri"/>
                <w:color w:val="000000" w:themeColor="text1"/>
                <w:sz w:val="18"/>
                <w:szCs w:val="18"/>
              </w:rPr>
            </w:pPr>
          </w:p>
        </w:tc>
      </w:tr>
      <w:tr w:rsidRPr="00DD47A3" w:rsidR="00D233FF" w:rsidTr="009B3E82" w14:paraId="26C8C718" w14:textId="77777777">
        <w:trPr>
          <w:trHeight w:val="495"/>
        </w:trPr>
        <w:tc>
          <w:tcPr>
            <w:tcW w:w="311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D47A3" w:rsidR="00D233FF" w:rsidP="00D97D31" w:rsidRDefault="00D233FF" w14:paraId="11EA820C" w14:textId="77777777">
            <w:pPr>
              <w:spacing w:after="0"/>
              <w:jc w:val="both"/>
              <w:rPr>
                <w:rFonts w:ascii="Calibri" w:hAnsi="Calibri" w:eastAsia="Calibri" w:cs="Calibri"/>
                <w:color w:val="000000" w:themeColor="text1"/>
                <w:sz w:val="18"/>
                <w:szCs w:val="18"/>
              </w:rPr>
            </w:pPr>
            <w:r w:rsidRPr="00DD47A3">
              <w:rPr>
                <w:rFonts w:ascii="Calibri" w:hAnsi="Calibri" w:eastAsia="Calibri" w:cs="Calibri"/>
                <w:color w:val="000000" w:themeColor="text1"/>
                <w:sz w:val="18"/>
                <w:szCs w:val="18"/>
              </w:rPr>
              <w:t>1.1.4 Realizar seguimiento a la ejecución de los proyectos.</w:t>
            </w:r>
          </w:p>
        </w:tc>
        <w:tc>
          <w:tcPr>
            <w:tcW w:w="1417"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D47A3" w:rsidR="00D233FF" w:rsidP="00D97D31" w:rsidRDefault="00D233FF" w14:paraId="6C8BB39D" w14:textId="77777777">
            <w:pPr>
              <w:spacing w:after="0"/>
              <w:jc w:val="center"/>
              <w:rPr>
                <w:rFonts w:ascii="Calibri" w:hAnsi="Calibri" w:eastAsia="Calibri" w:cs="Calibri"/>
                <w:color w:val="000000" w:themeColor="text1"/>
                <w:sz w:val="18"/>
                <w:szCs w:val="18"/>
              </w:rPr>
            </w:pPr>
            <w:r w:rsidRPr="00DD47A3">
              <w:rPr>
                <w:rFonts w:ascii="Calibri" w:hAnsi="Calibri" w:eastAsia="Calibri" w:cs="Calibri"/>
                <w:color w:val="000000" w:themeColor="text1"/>
                <w:sz w:val="18"/>
                <w:szCs w:val="18"/>
              </w:rPr>
              <w:t>$ 4.400.000.000</w:t>
            </w:r>
          </w:p>
        </w:tc>
        <w:tc>
          <w:tcPr>
            <w:tcW w:w="156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D47A3" w:rsidR="00D233FF" w:rsidP="00D97D31" w:rsidRDefault="00D233FF" w14:paraId="46768326" w14:textId="77777777">
            <w:pPr>
              <w:spacing w:after="0"/>
              <w:jc w:val="center"/>
              <w:rPr>
                <w:rFonts w:ascii="Calibri" w:hAnsi="Calibri" w:eastAsia="Calibri" w:cs="Calibri"/>
                <w:color w:val="000000" w:themeColor="text1"/>
                <w:sz w:val="18"/>
                <w:szCs w:val="18"/>
              </w:rPr>
            </w:pPr>
            <w:r w:rsidRPr="00DD47A3">
              <w:rPr>
                <w:rFonts w:ascii="Calibri" w:hAnsi="Calibri" w:eastAsia="Calibri" w:cs="Calibri"/>
                <w:color w:val="000000" w:themeColor="text1"/>
                <w:sz w:val="18"/>
                <w:szCs w:val="18"/>
              </w:rPr>
              <w:t xml:space="preserve"> $3.054.910.463</w:t>
            </w:r>
          </w:p>
        </w:tc>
        <w:tc>
          <w:tcPr>
            <w:tcW w:w="1086"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D47A3" w:rsidR="00D233FF" w:rsidP="00D97D31" w:rsidRDefault="00D233FF" w14:paraId="4B921F0C" w14:textId="77777777">
            <w:pPr>
              <w:jc w:val="center"/>
              <w:rPr>
                <w:rFonts w:ascii="Calibri" w:hAnsi="Calibri" w:eastAsia="Calibri" w:cs="Calibri"/>
                <w:color w:val="000000" w:themeColor="text1"/>
                <w:sz w:val="18"/>
                <w:szCs w:val="18"/>
              </w:rPr>
            </w:pPr>
          </w:p>
        </w:tc>
        <w:tc>
          <w:tcPr>
            <w:tcW w:w="898"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D47A3" w:rsidR="00D233FF" w:rsidP="00D97D31" w:rsidRDefault="00D233FF" w14:paraId="3FBDEBD2" w14:textId="77777777">
            <w:pPr>
              <w:jc w:val="center"/>
              <w:rPr>
                <w:rFonts w:ascii="Calibri" w:hAnsi="Calibri" w:eastAsia="Calibri" w:cs="Calibri"/>
                <w:color w:val="000000" w:themeColor="text1"/>
                <w:sz w:val="18"/>
                <w:szCs w:val="18"/>
              </w:rPr>
            </w:pPr>
          </w:p>
        </w:tc>
        <w:tc>
          <w:tcPr>
            <w:tcW w:w="131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D47A3" w:rsidR="00D233FF" w:rsidP="00D97D31" w:rsidRDefault="00D233FF" w14:paraId="740CB6AC" w14:textId="77777777">
            <w:pPr>
              <w:jc w:val="center"/>
              <w:rPr>
                <w:rFonts w:ascii="Calibri" w:hAnsi="Calibri" w:eastAsia="Calibri" w:cs="Calibri"/>
                <w:color w:val="000000" w:themeColor="text1"/>
                <w:sz w:val="18"/>
                <w:szCs w:val="18"/>
              </w:rPr>
            </w:pPr>
          </w:p>
        </w:tc>
      </w:tr>
      <w:tr w:rsidRPr="00DD47A3" w:rsidR="00D233FF" w:rsidTr="009B3E82" w14:paraId="09801A65" w14:textId="77777777">
        <w:trPr>
          <w:trHeight w:val="285"/>
        </w:trPr>
        <w:tc>
          <w:tcPr>
            <w:tcW w:w="311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vAlign w:val="center"/>
          </w:tcPr>
          <w:p w:rsidRPr="00DD47A3" w:rsidR="00D233FF" w:rsidP="00D97D31" w:rsidRDefault="00D233FF" w14:paraId="7F8A98B1" w14:textId="77777777">
            <w:pPr>
              <w:spacing w:after="0"/>
              <w:jc w:val="center"/>
              <w:rPr>
                <w:rFonts w:ascii="Calibri" w:hAnsi="Calibri" w:eastAsia="Calibri" w:cs="Calibri"/>
                <w:b/>
                <w:bCs/>
                <w:color w:val="000000" w:themeColor="text1"/>
                <w:sz w:val="18"/>
                <w:szCs w:val="18"/>
              </w:rPr>
            </w:pPr>
            <w:r w:rsidRPr="00DD47A3">
              <w:rPr>
                <w:rFonts w:ascii="Calibri" w:hAnsi="Calibri" w:eastAsia="Calibri" w:cs="Calibri"/>
                <w:b/>
                <w:bCs/>
                <w:color w:val="000000" w:themeColor="text1"/>
                <w:sz w:val="18"/>
                <w:szCs w:val="18"/>
              </w:rPr>
              <w:t>TOTAL</w:t>
            </w:r>
          </w:p>
        </w:tc>
        <w:tc>
          <w:tcPr>
            <w:tcW w:w="141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vAlign w:val="center"/>
          </w:tcPr>
          <w:p w:rsidRPr="00DD47A3" w:rsidR="00D233FF" w:rsidP="00D97D31" w:rsidRDefault="00D233FF" w14:paraId="0310A841" w14:textId="77777777">
            <w:pPr>
              <w:spacing w:after="0"/>
              <w:jc w:val="center"/>
              <w:rPr>
                <w:rFonts w:ascii="Calibri" w:hAnsi="Calibri" w:eastAsia="Calibri" w:cs="Calibri"/>
                <w:b/>
                <w:bCs/>
                <w:color w:val="000000" w:themeColor="text1"/>
                <w:sz w:val="18"/>
                <w:szCs w:val="18"/>
              </w:rPr>
            </w:pPr>
            <w:r w:rsidRPr="00DD47A3">
              <w:rPr>
                <w:rFonts w:ascii="Calibri" w:hAnsi="Calibri" w:eastAsia="Calibri" w:cs="Calibri"/>
                <w:b/>
                <w:bCs/>
                <w:color w:val="000000" w:themeColor="text1"/>
                <w:sz w:val="18"/>
                <w:szCs w:val="18"/>
              </w:rPr>
              <w:t>$ 200.000.000.000</w:t>
            </w:r>
          </w:p>
        </w:tc>
        <w:tc>
          <w:tcPr>
            <w:tcW w:w="156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vAlign w:val="center"/>
          </w:tcPr>
          <w:p w:rsidRPr="00DD47A3" w:rsidR="00D233FF" w:rsidP="00D97D31" w:rsidRDefault="00D233FF" w14:paraId="31137319" w14:textId="77777777">
            <w:pPr>
              <w:spacing w:after="0"/>
              <w:ind w:left="-111" w:right="-109"/>
              <w:jc w:val="center"/>
              <w:rPr>
                <w:rFonts w:ascii="Calibri" w:hAnsi="Calibri" w:eastAsia="Calibri" w:cs="Calibri"/>
                <w:b/>
                <w:bCs/>
                <w:color w:val="000000" w:themeColor="text1"/>
                <w:sz w:val="18"/>
                <w:szCs w:val="18"/>
              </w:rPr>
            </w:pPr>
            <w:r w:rsidRPr="00DD47A3">
              <w:rPr>
                <w:rFonts w:ascii="Calibri" w:hAnsi="Calibri" w:eastAsia="Calibri" w:cs="Calibri"/>
                <w:b/>
                <w:bCs/>
                <w:color w:val="000000" w:themeColor="text1"/>
                <w:sz w:val="18"/>
                <w:szCs w:val="18"/>
              </w:rPr>
              <w:t>$          112.784.510.565</w:t>
            </w:r>
          </w:p>
        </w:tc>
        <w:tc>
          <w:tcPr>
            <w:tcW w:w="108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vAlign w:val="center"/>
          </w:tcPr>
          <w:p w:rsidRPr="00DD47A3" w:rsidR="00D233FF" w:rsidP="00D97D31" w:rsidRDefault="00D233FF" w14:paraId="52334360" w14:textId="77777777">
            <w:pPr>
              <w:jc w:val="center"/>
              <w:rPr>
                <w:rFonts w:ascii="Calibri" w:hAnsi="Calibri" w:eastAsia="Calibri" w:cs="Calibri"/>
                <w:b/>
                <w:bCs/>
                <w:color w:val="000000" w:themeColor="text1"/>
                <w:sz w:val="18"/>
                <w:szCs w:val="18"/>
              </w:rPr>
            </w:pPr>
          </w:p>
        </w:tc>
        <w:tc>
          <w:tcPr>
            <w:tcW w:w="89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vAlign w:val="center"/>
          </w:tcPr>
          <w:p w:rsidRPr="00DD47A3" w:rsidR="00D233FF" w:rsidP="00D97D31" w:rsidRDefault="00D233FF" w14:paraId="13AC9AAF" w14:textId="77777777">
            <w:pPr>
              <w:jc w:val="center"/>
              <w:rPr>
                <w:rFonts w:ascii="Calibri" w:hAnsi="Calibri" w:eastAsia="Calibri" w:cs="Calibri"/>
                <w:b/>
                <w:bCs/>
                <w:color w:val="000000" w:themeColor="text1"/>
                <w:sz w:val="18"/>
                <w:szCs w:val="18"/>
              </w:rPr>
            </w:pPr>
          </w:p>
        </w:tc>
        <w:tc>
          <w:tcPr>
            <w:tcW w:w="131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vAlign w:val="center"/>
          </w:tcPr>
          <w:p w:rsidRPr="00DD47A3" w:rsidR="00D233FF" w:rsidP="00D97D31" w:rsidRDefault="00D233FF" w14:paraId="5FB6F920" w14:textId="77777777">
            <w:pPr>
              <w:jc w:val="center"/>
              <w:rPr>
                <w:rFonts w:ascii="Calibri" w:hAnsi="Calibri" w:eastAsia="Calibri" w:cs="Calibri"/>
                <w:b/>
                <w:bCs/>
                <w:color w:val="000000" w:themeColor="text1"/>
                <w:sz w:val="18"/>
                <w:szCs w:val="18"/>
              </w:rPr>
            </w:pPr>
          </w:p>
        </w:tc>
      </w:tr>
    </w:tbl>
    <w:p w:rsidR="00D233FF" w:rsidP="00D97D31" w:rsidRDefault="00D233FF" w14:paraId="12813909" w14:textId="77777777">
      <w:pPr>
        <w:spacing w:after="0"/>
        <w:ind w:left="-426"/>
        <w:jc w:val="center"/>
        <w:rPr>
          <w:rFonts w:ascii="Calibri" w:hAnsi="Calibri" w:cs="Calibri"/>
        </w:rPr>
      </w:pPr>
      <w:r w:rsidRPr="009D13BA">
        <w:rPr>
          <w:b/>
          <w:bCs/>
          <w:i/>
          <w:iCs/>
          <w:sz w:val="18"/>
          <w:szCs w:val="18"/>
        </w:rPr>
        <w:t xml:space="preserve">Fuente: </w:t>
      </w:r>
      <w:r w:rsidRPr="009D13BA">
        <w:rPr>
          <w:sz w:val="18"/>
          <w:szCs w:val="18"/>
        </w:rPr>
        <w:t xml:space="preserve">PIIP – Meta de los proyectos de inversión </w:t>
      </w:r>
      <w:proofErr w:type="spellStart"/>
      <w:r w:rsidRPr="009D13BA">
        <w:rPr>
          <w:sz w:val="18"/>
          <w:szCs w:val="18"/>
        </w:rPr>
        <w:t>contracreditos</w:t>
      </w:r>
      <w:proofErr w:type="spellEnd"/>
    </w:p>
    <w:p w:rsidR="00D233FF" w:rsidP="00D97D31" w:rsidRDefault="00D233FF" w14:paraId="3F97E618" w14:textId="77777777">
      <w:pPr>
        <w:pStyle w:val="ListParagraph"/>
        <w:spacing w:after="0" w:line="276" w:lineRule="auto"/>
        <w:ind w:left="1080"/>
        <w:rPr>
          <w:rFonts w:ascii="Calibri" w:hAnsi="Calibri" w:cs="Calibri"/>
        </w:rPr>
      </w:pPr>
    </w:p>
    <w:p w:rsidRPr="00D214E8" w:rsidR="00D214E8" w:rsidP="00D97D31" w:rsidRDefault="00D214E8" w14:paraId="2AB08199" w14:textId="7C695831">
      <w:pPr>
        <w:pStyle w:val="Heading2"/>
        <w:numPr>
          <w:ilvl w:val="1"/>
          <w:numId w:val="11"/>
        </w:numPr>
      </w:pPr>
      <w:bookmarkStart w:name="_Toc230792113" w:id="8"/>
      <w:r w:rsidRPr="00D214E8">
        <w:t>Mejoramiento de la calidad y confiabilidad del servicio de energía eléctrica en los barrios subnormales ubicados en los municipios del sistema interconectado a nivel nacional</w:t>
      </w:r>
      <w:bookmarkEnd w:id="8"/>
    </w:p>
    <w:p w:rsidR="00D214E8" w:rsidP="00D97D31" w:rsidRDefault="00D214E8" w14:paraId="223C3FD3" w14:textId="77777777">
      <w:pPr>
        <w:pStyle w:val="ListParagraph"/>
        <w:spacing w:after="0" w:line="276" w:lineRule="auto"/>
        <w:ind w:left="1080"/>
        <w:jc w:val="both"/>
        <w:rPr>
          <w:rFonts w:ascii="Calibri" w:hAnsi="Calibri" w:cs="Calibri"/>
          <w:b/>
        </w:rPr>
      </w:pPr>
    </w:p>
    <w:p w:rsidR="00D214E8" w:rsidP="00D97D31" w:rsidRDefault="00D214E8" w14:paraId="16C0F99C" w14:textId="77777777">
      <w:pPr>
        <w:spacing w:after="0"/>
        <w:jc w:val="both"/>
      </w:pPr>
      <w:r>
        <w:t>El proyecto de inversión al cual corresponden los recursos objeto de traslado, denominado “Programa de Normalización de Redes Eléctricas – PRONE”, identificado con BPIN 2018011001045, tiene como objetivo general contribuir al mejoramiento de la calidad del servicio de energía eléctrica y a la legalización de usuarios en barrios subnormales ubicados en el Sistema Interconectado Nacional – SIN, mediante la financiación y cofinanciación de proyectos de normalización de redes eléctricas.</w:t>
      </w:r>
    </w:p>
    <w:p w:rsidR="00D214E8" w:rsidP="00D97D31" w:rsidRDefault="00D214E8" w14:paraId="0434978A" w14:textId="77777777">
      <w:pPr>
        <w:spacing w:after="0"/>
        <w:jc w:val="both"/>
      </w:pPr>
    </w:p>
    <w:p w:rsidR="00D214E8" w:rsidP="00D97D31" w:rsidRDefault="00D214E8" w14:paraId="70A62FA5" w14:textId="77777777">
      <w:pPr>
        <w:spacing w:after="0"/>
        <w:jc w:val="both"/>
      </w:pPr>
      <w:r>
        <w:t>El programa se orienta principalmente a atender barrios subnormales y asentamientos humanos que presentan conexiones eléctricas antitécnicas o informales, infraestructura eléctrica deficiente y condiciones de riesgo para la prestación del servicio, afectando la calidad, continuidad y seguridad del suministro de energía eléctrica para las comunidades beneficiarias.</w:t>
      </w:r>
    </w:p>
    <w:p w:rsidR="00D214E8" w:rsidP="00D97D31" w:rsidRDefault="00D214E8" w14:paraId="327EB4B8" w14:textId="77777777">
      <w:pPr>
        <w:spacing w:after="0"/>
        <w:jc w:val="both"/>
      </w:pPr>
    </w:p>
    <w:p w:rsidR="00D214E8" w:rsidP="00D97D31" w:rsidRDefault="00D214E8" w14:paraId="41E7C059" w14:textId="77777777">
      <w:pPr>
        <w:spacing w:after="0"/>
        <w:jc w:val="both"/>
      </w:pPr>
      <w:r>
        <w:t>En desarrollo de sus objetivos, el PRONE contempla la financiación de proyectos relacionados con la construcción, adecuación, reposición y normalización de redes de distribución eléctrica, así como la instalación de acometidas y equipos asociados que permitan la legalización de usuarios y la reducción de pérdidas técnicas y no técnicas en el sistema eléctrico.</w:t>
      </w:r>
    </w:p>
    <w:p w:rsidR="00D214E8" w:rsidP="00D97D31" w:rsidRDefault="00D214E8" w14:paraId="72CAF770" w14:textId="77777777">
      <w:pPr>
        <w:spacing w:after="0"/>
        <w:jc w:val="both"/>
      </w:pPr>
    </w:p>
    <w:p w:rsidR="00D214E8" w:rsidP="00D97D31" w:rsidRDefault="00D214E8" w14:paraId="6F836D1C" w14:textId="77777777">
      <w:pPr>
        <w:spacing w:after="0"/>
        <w:jc w:val="both"/>
      </w:pPr>
      <w:r>
        <w:t>Asimismo, el programa busca fortalecer las condiciones de prestación del servicio público de energía eléctrica en sectores vulnerables, contribuyendo al mejoramiento de la calidad de vida de las comunidades beneficiarias, la disminución de riesgos eléctricos y la consolidación de esquemas de prestación formal del servicio.</w:t>
      </w:r>
    </w:p>
    <w:p w:rsidRPr="00832FB0" w:rsidR="00D214E8" w:rsidP="00D97D31" w:rsidRDefault="00D214E8" w14:paraId="1FFDBAE4" w14:textId="77777777">
      <w:pPr>
        <w:suppressAutoHyphens w:val="0"/>
        <w:spacing w:before="100" w:beforeAutospacing="1" w:after="100" w:afterAutospacing="1"/>
        <w:jc w:val="both"/>
      </w:pPr>
      <w:r w:rsidRPr="00832FB0">
        <w:t>Los objetivos específicos formulados para este proyecto de inversión son:</w:t>
      </w:r>
    </w:p>
    <w:p w:rsidRPr="00832FB0" w:rsidR="00D214E8" w:rsidP="00D97D31" w:rsidRDefault="00D214E8" w14:paraId="63F79012" w14:textId="77777777">
      <w:pPr>
        <w:numPr>
          <w:ilvl w:val="0"/>
          <w:numId w:val="28"/>
        </w:numPr>
        <w:suppressAutoHyphens w:val="0"/>
        <w:spacing w:before="100" w:beforeAutospacing="1" w:after="100" w:afterAutospacing="1"/>
        <w:jc w:val="both"/>
      </w:pPr>
      <w:r w:rsidRPr="00832FB0">
        <w:t xml:space="preserve">Normalizar las redes eléctricas en barrios subnormales ubicados en el Sistema Interconectado Nacional. </w:t>
      </w:r>
    </w:p>
    <w:p w:rsidRPr="00832FB0" w:rsidR="00D214E8" w:rsidP="00D97D31" w:rsidRDefault="00D214E8" w14:paraId="2B5EFB2D" w14:textId="77777777">
      <w:pPr>
        <w:numPr>
          <w:ilvl w:val="0"/>
          <w:numId w:val="28"/>
        </w:numPr>
        <w:suppressAutoHyphens w:val="0"/>
        <w:spacing w:before="100" w:beforeAutospacing="1" w:after="100" w:afterAutospacing="1"/>
        <w:jc w:val="both"/>
      </w:pPr>
      <w:r w:rsidRPr="00832FB0">
        <w:t xml:space="preserve">Mejorar la calidad y continuidad del servicio de energía eléctrica en las zonas intervenidas. </w:t>
      </w:r>
    </w:p>
    <w:p w:rsidRPr="00832FB0" w:rsidR="00D214E8" w:rsidP="00D97D31" w:rsidRDefault="00D214E8" w14:paraId="75D6B1C1" w14:textId="77777777">
      <w:pPr>
        <w:numPr>
          <w:ilvl w:val="0"/>
          <w:numId w:val="28"/>
        </w:numPr>
        <w:suppressAutoHyphens w:val="0"/>
        <w:spacing w:before="100" w:beforeAutospacing="1" w:after="100" w:afterAutospacing="1"/>
        <w:jc w:val="both"/>
      </w:pPr>
      <w:r w:rsidRPr="00832FB0">
        <w:t xml:space="preserve">Legalizar usuarios del servicio público de energía eléctrica mediante infraestructura técnica adecuada. </w:t>
      </w:r>
    </w:p>
    <w:p w:rsidRPr="00832FB0" w:rsidR="00D214E8" w:rsidP="00D97D31" w:rsidRDefault="00D214E8" w14:paraId="486E3319" w14:textId="77777777">
      <w:pPr>
        <w:numPr>
          <w:ilvl w:val="0"/>
          <w:numId w:val="28"/>
        </w:numPr>
        <w:suppressAutoHyphens w:val="0"/>
        <w:spacing w:before="100" w:beforeAutospacing="1" w:after="100" w:afterAutospacing="1"/>
        <w:jc w:val="both"/>
      </w:pPr>
      <w:r w:rsidRPr="00832FB0">
        <w:t xml:space="preserve">Reducir pérdidas técnicas y no técnicas asociadas a conexiones antitécnicas o informales. </w:t>
      </w:r>
    </w:p>
    <w:p w:rsidR="00D214E8" w:rsidP="00D97D31" w:rsidRDefault="00D214E8" w14:paraId="46AB14D5" w14:textId="77777777">
      <w:pPr>
        <w:numPr>
          <w:ilvl w:val="0"/>
          <w:numId w:val="28"/>
        </w:numPr>
        <w:spacing w:beforeAutospacing="1" w:after="0" w:afterAutospacing="1"/>
        <w:jc w:val="both"/>
      </w:pPr>
      <w:r w:rsidRPr="00832FB0">
        <w:t>Disminuir riesgos eléctricos y mejorar las condiciones de seguridad de las comunidades beneficiarias.</w:t>
      </w:r>
    </w:p>
    <w:p w:rsidRPr="00C17450" w:rsidR="00E77DAD" w:rsidP="00D97D31" w:rsidRDefault="002A398A" w14:paraId="00DF5817" w14:textId="6D3107D0">
      <w:pPr>
        <w:pStyle w:val="ListParagraph"/>
        <w:spacing w:after="0" w:line="276" w:lineRule="auto"/>
        <w:jc w:val="center"/>
        <w:rPr>
          <w:rFonts w:ascii="Calibri" w:hAnsi="Calibri" w:cs="Calibri"/>
          <w:b/>
          <w:bCs/>
        </w:rPr>
      </w:pPr>
      <w:r w:rsidRPr="002A398A">
        <w:rPr>
          <w:rFonts w:ascii="Calibri" w:hAnsi="Calibri" w:cs="Calibri"/>
          <w:b/>
          <w:bCs/>
        </w:rPr>
        <w:t>Tabla 11. Cadena de valor</w:t>
      </w:r>
    </w:p>
    <w:tbl>
      <w:tblPr>
        <w:tblW w:w="11625" w:type="dxa"/>
        <w:tblInd w:w="-1003" w:type="dxa"/>
        <w:tblBorders>
          <w:top w:val="single" w:color="auto" w:sz="12" w:space="0"/>
          <w:left w:val="single" w:color="auto" w:sz="12" w:space="0"/>
          <w:bottom w:val="single" w:color="auto" w:sz="12" w:space="0"/>
          <w:right w:val="single" w:color="auto" w:sz="12" w:space="0"/>
          <w:insideH w:val="single" w:color="000000" w:sz="4" w:space="0"/>
          <w:insideV w:val="single" w:color="000000" w:sz="4" w:space="0"/>
        </w:tblBorders>
        <w:tblCellMar>
          <w:top w:w="15" w:type="dxa"/>
          <w:left w:w="70" w:type="dxa"/>
          <w:bottom w:w="15" w:type="dxa"/>
          <w:right w:w="70" w:type="dxa"/>
        </w:tblCellMar>
        <w:tblLook w:val="04A0" w:firstRow="1" w:lastRow="0" w:firstColumn="1" w:lastColumn="0" w:noHBand="0" w:noVBand="1"/>
      </w:tblPr>
      <w:tblGrid>
        <w:gridCol w:w="851"/>
        <w:gridCol w:w="1418"/>
        <w:gridCol w:w="1134"/>
        <w:gridCol w:w="980"/>
        <w:gridCol w:w="980"/>
        <w:gridCol w:w="1584"/>
        <w:gridCol w:w="960"/>
        <w:gridCol w:w="960"/>
        <w:gridCol w:w="1340"/>
        <w:gridCol w:w="1418"/>
      </w:tblGrid>
      <w:tr w:rsidRPr="00F66E15" w:rsidR="00F66E15" w:rsidTr="00C17450" w14:paraId="7C0805FF" w14:textId="77777777">
        <w:trPr>
          <w:trHeight w:val="300"/>
        </w:trPr>
        <w:tc>
          <w:tcPr>
            <w:tcW w:w="851" w:type="dxa"/>
            <w:shd w:val="clear" w:color="000000" w:fill="D9E1F2"/>
            <w:noWrap/>
            <w:vAlign w:val="bottom"/>
            <w:hideMark/>
          </w:tcPr>
          <w:p w:rsidRPr="00F66E15" w:rsidR="00F66E15" w:rsidP="00D97D31" w:rsidRDefault="00F66E15" w14:paraId="2EBDF007" w14:textId="77777777">
            <w:pPr>
              <w:suppressAutoHyphens w:val="0"/>
              <w:spacing w:after="0"/>
              <w:rPr>
                <w:rFonts w:ascii="Calibri" w:hAnsi="Calibri" w:eastAsia="Times New Roman" w:cs="Calibri"/>
                <w:b/>
                <w:bCs/>
                <w:color w:val="000000"/>
                <w:sz w:val="16"/>
                <w:szCs w:val="16"/>
                <w:lang w:eastAsia="es-CO"/>
              </w:rPr>
            </w:pPr>
            <w:r w:rsidRPr="00F66E15">
              <w:rPr>
                <w:rFonts w:ascii="Calibri" w:hAnsi="Calibri" w:eastAsia="Times New Roman" w:cs="Calibri"/>
                <w:b/>
                <w:bCs/>
                <w:color w:val="000000"/>
                <w:sz w:val="16"/>
                <w:szCs w:val="16"/>
                <w:lang w:eastAsia="es-CO"/>
              </w:rPr>
              <w:t>Nombre</w:t>
            </w:r>
          </w:p>
        </w:tc>
        <w:tc>
          <w:tcPr>
            <w:tcW w:w="10774" w:type="dxa"/>
            <w:gridSpan w:val="9"/>
            <w:noWrap/>
            <w:vAlign w:val="bottom"/>
            <w:hideMark/>
          </w:tcPr>
          <w:p w:rsidRPr="00F66E15" w:rsidR="00F66E15" w:rsidP="00D97D31" w:rsidRDefault="00F66E15" w14:paraId="47AE127C" w14:textId="77777777">
            <w:pPr>
              <w:suppressAutoHyphens w:val="0"/>
              <w:spacing w:after="0"/>
              <w:jc w:val="center"/>
              <w:rPr>
                <w:rFonts w:ascii="Calibri" w:hAnsi="Calibri" w:eastAsia="Times New Roman" w:cs="Calibri"/>
                <w:color w:val="000000"/>
                <w:sz w:val="16"/>
                <w:szCs w:val="16"/>
                <w:lang w:eastAsia="es-CO"/>
              </w:rPr>
            </w:pPr>
            <w:r w:rsidRPr="00F66E15">
              <w:rPr>
                <w:rFonts w:ascii="Calibri" w:hAnsi="Calibri" w:eastAsia="Times New Roman" w:cs="Calibri"/>
                <w:color w:val="000000"/>
                <w:sz w:val="16"/>
                <w:szCs w:val="16"/>
                <w:lang w:eastAsia="es-CO"/>
              </w:rPr>
              <w:t xml:space="preserve">Mejoramiento de la calidad y confiabilidad del servicio de energía eléctrica en los barrios subnormales ubicados en los municipios del sistema interconectado a nivel nacional </w:t>
            </w:r>
          </w:p>
        </w:tc>
      </w:tr>
      <w:tr w:rsidRPr="00F66E15" w:rsidR="00F66E15" w:rsidTr="00C17450" w14:paraId="050D2364" w14:textId="77777777">
        <w:trPr>
          <w:trHeight w:val="300"/>
        </w:trPr>
        <w:tc>
          <w:tcPr>
            <w:tcW w:w="851" w:type="dxa"/>
            <w:shd w:val="clear" w:color="000000" w:fill="D9E1F2"/>
            <w:noWrap/>
            <w:vAlign w:val="bottom"/>
            <w:hideMark/>
          </w:tcPr>
          <w:p w:rsidRPr="00F66E15" w:rsidR="00F66E15" w:rsidP="00D97D31" w:rsidRDefault="00F66E15" w14:paraId="5ADAF781" w14:textId="77777777">
            <w:pPr>
              <w:suppressAutoHyphens w:val="0"/>
              <w:spacing w:after="0"/>
              <w:rPr>
                <w:rFonts w:ascii="Calibri" w:hAnsi="Calibri" w:eastAsia="Times New Roman" w:cs="Calibri"/>
                <w:b/>
                <w:bCs/>
                <w:color w:val="000000"/>
                <w:sz w:val="16"/>
                <w:szCs w:val="16"/>
                <w:lang w:eastAsia="es-CO"/>
              </w:rPr>
            </w:pPr>
            <w:r w:rsidRPr="00F66E15">
              <w:rPr>
                <w:rFonts w:ascii="Calibri" w:hAnsi="Calibri" w:eastAsia="Times New Roman" w:cs="Calibri"/>
                <w:b/>
                <w:bCs/>
                <w:color w:val="000000"/>
                <w:sz w:val="16"/>
                <w:szCs w:val="16"/>
                <w:lang w:eastAsia="es-CO"/>
              </w:rPr>
              <w:t>Objetivo General</w:t>
            </w:r>
          </w:p>
        </w:tc>
        <w:tc>
          <w:tcPr>
            <w:tcW w:w="10774" w:type="dxa"/>
            <w:gridSpan w:val="9"/>
            <w:noWrap/>
            <w:vAlign w:val="bottom"/>
            <w:hideMark/>
          </w:tcPr>
          <w:p w:rsidRPr="00F66E15" w:rsidR="00F66E15" w:rsidP="00D97D31" w:rsidRDefault="00F66E15" w14:paraId="1D55F10C" w14:textId="77777777">
            <w:pPr>
              <w:suppressAutoHyphens w:val="0"/>
              <w:spacing w:after="0"/>
              <w:jc w:val="center"/>
              <w:rPr>
                <w:rFonts w:ascii="Calibri" w:hAnsi="Calibri" w:eastAsia="Times New Roman" w:cs="Calibri"/>
                <w:color w:val="000000"/>
                <w:sz w:val="16"/>
                <w:szCs w:val="16"/>
                <w:lang w:eastAsia="es-CO"/>
              </w:rPr>
            </w:pPr>
            <w:r w:rsidRPr="00F66E15">
              <w:rPr>
                <w:rFonts w:ascii="Calibri" w:hAnsi="Calibri" w:eastAsia="Times New Roman" w:cs="Calibri"/>
                <w:color w:val="000000"/>
                <w:sz w:val="16"/>
                <w:szCs w:val="16"/>
                <w:lang w:eastAsia="es-CO"/>
              </w:rPr>
              <w:t>MEJORAR LA CALIDAD Y CONFABILIDAD DEL SERVICIO DE ENERGIA ELECTRICA EN LOS BARRIOS SUBNORMALES UBICADOS</w:t>
            </w:r>
            <w:r w:rsidRPr="00F66E15">
              <w:rPr>
                <w:rFonts w:ascii="Calibri" w:hAnsi="Calibri" w:eastAsia="Times New Roman" w:cs="Calibri"/>
                <w:color w:val="000000"/>
                <w:sz w:val="16"/>
                <w:szCs w:val="16"/>
                <w:lang w:eastAsia="es-CO"/>
              </w:rPr>
              <w:br/>
            </w:r>
            <w:r w:rsidRPr="00F66E15">
              <w:rPr>
                <w:rFonts w:ascii="Calibri" w:hAnsi="Calibri" w:eastAsia="Times New Roman" w:cs="Calibri"/>
                <w:color w:val="000000"/>
                <w:sz w:val="16"/>
                <w:szCs w:val="16"/>
                <w:lang w:eastAsia="es-CO"/>
              </w:rPr>
              <w:t xml:space="preserve">EN LOS MUNICIPIOS DEL SISTEMA INTERCONECTADO NACIONAL </w:t>
            </w:r>
          </w:p>
        </w:tc>
      </w:tr>
      <w:tr w:rsidRPr="00F66E15" w:rsidR="00F66E15" w:rsidTr="00C17450" w14:paraId="623E1444" w14:textId="77777777">
        <w:trPr>
          <w:trHeight w:val="300"/>
        </w:trPr>
        <w:tc>
          <w:tcPr>
            <w:tcW w:w="851" w:type="dxa"/>
            <w:vMerge w:val="restart"/>
            <w:shd w:val="clear" w:color="000000" w:fill="D9E1F2"/>
            <w:vAlign w:val="center"/>
            <w:hideMark/>
          </w:tcPr>
          <w:p w:rsidRPr="00F66E15" w:rsidR="00F66E15" w:rsidP="00D97D31" w:rsidRDefault="00F66E15" w14:paraId="6413787C" w14:textId="77777777">
            <w:pPr>
              <w:suppressAutoHyphens w:val="0"/>
              <w:spacing w:after="0"/>
              <w:jc w:val="center"/>
              <w:rPr>
                <w:rFonts w:ascii="Calibri" w:hAnsi="Calibri" w:eastAsia="Times New Roman" w:cs="Calibri"/>
                <w:b/>
                <w:bCs/>
                <w:color w:val="000000"/>
                <w:sz w:val="16"/>
                <w:szCs w:val="16"/>
                <w:lang w:eastAsia="es-CO"/>
              </w:rPr>
            </w:pPr>
            <w:r w:rsidRPr="00F66E15">
              <w:rPr>
                <w:rFonts w:ascii="Calibri" w:hAnsi="Calibri" w:eastAsia="Times New Roman" w:cs="Calibri"/>
                <w:b/>
                <w:bCs/>
                <w:color w:val="000000"/>
                <w:sz w:val="16"/>
                <w:szCs w:val="16"/>
                <w:lang w:eastAsia="es-CO"/>
              </w:rPr>
              <w:t xml:space="preserve">Objetivos </w:t>
            </w:r>
            <w:proofErr w:type="spellStart"/>
            <w:r w:rsidRPr="00F66E15">
              <w:rPr>
                <w:rFonts w:ascii="Calibri" w:hAnsi="Calibri" w:eastAsia="Times New Roman" w:cs="Calibri"/>
                <w:b/>
                <w:bCs/>
                <w:color w:val="000000"/>
                <w:sz w:val="16"/>
                <w:szCs w:val="16"/>
                <w:lang w:eastAsia="es-CO"/>
              </w:rPr>
              <w:t>Especificos</w:t>
            </w:r>
            <w:proofErr w:type="spellEnd"/>
            <w:r w:rsidRPr="00F66E15">
              <w:rPr>
                <w:rFonts w:ascii="Calibri" w:hAnsi="Calibri" w:eastAsia="Times New Roman" w:cs="Calibri"/>
                <w:b/>
                <w:bCs/>
                <w:color w:val="000000"/>
                <w:sz w:val="16"/>
                <w:szCs w:val="16"/>
                <w:lang w:eastAsia="es-CO"/>
              </w:rPr>
              <w:t xml:space="preserve"> </w:t>
            </w:r>
          </w:p>
        </w:tc>
        <w:tc>
          <w:tcPr>
            <w:tcW w:w="1418" w:type="dxa"/>
            <w:vMerge w:val="restart"/>
            <w:shd w:val="clear" w:color="000000" w:fill="D9E1F2"/>
            <w:vAlign w:val="center"/>
            <w:hideMark/>
          </w:tcPr>
          <w:p w:rsidRPr="00F66E15" w:rsidR="00F66E15" w:rsidP="00D97D31" w:rsidRDefault="00F66E15" w14:paraId="5A021FFC" w14:textId="77777777">
            <w:pPr>
              <w:suppressAutoHyphens w:val="0"/>
              <w:spacing w:after="0"/>
              <w:jc w:val="center"/>
              <w:rPr>
                <w:rFonts w:ascii="Calibri" w:hAnsi="Calibri" w:eastAsia="Times New Roman" w:cs="Calibri"/>
                <w:b/>
                <w:bCs/>
                <w:color w:val="000000"/>
                <w:sz w:val="16"/>
                <w:szCs w:val="16"/>
                <w:lang w:eastAsia="es-CO"/>
              </w:rPr>
            </w:pPr>
            <w:r w:rsidRPr="00F66E15">
              <w:rPr>
                <w:rFonts w:ascii="Calibri" w:hAnsi="Calibri" w:eastAsia="Times New Roman" w:cs="Calibri"/>
                <w:b/>
                <w:bCs/>
                <w:color w:val="000000"/>
                <w:sz w:val="16"/>
                <w:szCs w:val="16"/>
                <w:lang w:eastAsia="es-CO"/>
              </w:rPr>
              <w:t>Producto</w:t>
            </w:r>
          </w:p>
        </w:tc>
        <w:tc>
          <w:tcPr>
            <w:tcW w:w="1134" w:type="dxa"/>
            <w:vMerge w:val="restart"/>
            <w:shd w:val="clear" w:color="000000" w:fill="D9E1F2"/>
            <w:vAlign w:val="center"/>
            <w:hideMark/>
          </w:tcPr>
          <w:p w:rsidRPr="00F66E15" w:rsidR="00F66E15" w:rsidP="00D97D31" w:rsidRDefault="00F66E15" w14:paraId="1E91F8D1" w14:textId="77777777">
            <w:pPr>
              <w:suppressAutoHyphens w:val="0"/>
              <w:spacing w:after="0"/>
              <w:jc w:val="center"/>
              <w:rPr>
                <w:rFonts w:ascii="Calibri" w:hAnsi="Calibri" w:eastAsia="Times New Roman" w:cs="Calibri"/>
                <w:b/>
                <w:bCs/>
                <w:color w:val="000000"/>
                <w:sz w:val="16"/>
                <w:szCs w:val="16"/>
                <w:lang w:eastAsia="es-CO"/>
              </w:rPr>
            </w:pPr>
            <w:r w:rsidRPr="00F66E15">
              <w:rPr>
                <w:rFonts w:ascii="Calibri" w:hAnsi="Calibri" w:eastAsia="Times New Roman" w:cs="Calibri"/>
                <w:b/>
                <w:bCs/>
                <w:color w:val="000000"/>
                <w:sz w:val="16"/>
                <w:szCs w:val="16"/>
                <w:lang w:eastAsia="es-CO"/>
              </w:rPr>
              <w:t>Unidad de Medida</w:t>
            </w:r>
          </w:p>
        </w:tc>
        <w:tc>
          <w:tcPr>
            <w:tcW w:w="1960" w:type="dxa"/>
            <w:gridSpan w:val="2"/>
            <w:shd w:val="clear" w:color="000000" w:fill="D9E1F2"/>
            <w:vAlign w:val="center"/>
            <w:hideMark/>
          </w:tcPr>
          <w:p w:rsidRPr="00F66E15" w:rsidR="00F66E15" w:rsidP="00D97D31" w:rsidRDefault="00F66E15" w14:paraId="61031D7A" w14:textId="77777777">
            <w:pPr>
              <w:suppressAutoHyphens w:val="0"/>
              <w:spacing w:after="0"/>
              <w:jc w:val="center"/>
              <w:rPr>
                <w:rFonts w:ascii="Calibri" w:hAnsi="Calibri" w:eastAsia="Times New Roman" w:cs="Calibri"/>
                <w:b/>
                <w:bCs/>
                <w:color w:val="000000"/>
                <w:sz w:val="16"/>
                <w:szCs w:val="16"/>
                <w:lang w:eastAsia="es-CO"/>
              </w:rPr>
            </w:pPr>
            <w:r w:rsidRPr="00F66E15">
              <w:rPr>
                <w:rFonts w:ascii="Calibri" w:hAnsi="Calibri" w:eastAsia="Times New Roman" w:cs="Calibri"/>
                <w:b/>
                <w:bCs/>
                <w:color w:val="000000"/>
                <w:sz w:val="16"/>
                <w:szCs w:val="16"/>
                <w:lang w:eastAsia="es-CO"/>
              </w:rPr>
              <w:t>Meta</w:t>
            </w:r>
          </w:p>
        </w:tc>
        <w:tc>
          <w:tcPr>
            <w:tcW w:w="1584" w:type="dxa"/>
            <w:vMerge w:val="restart"/>
            <w:shd w:val="clear" w:color="000000" w:fill="D9E1F2"/>
            <w:vAlign w:val="center"/>
            <w:hideMark/>
          </w:tcPr>
          <w:p w:rsidRPr="00F66E15" w:rsidR="00F66E15" w:rsidP="00D97D31" w:rsidRDefault="00F66E15" w14:paraId="4F8EA9F6" w14:textId="77777777">
            <w:pPr>
              <w:suppressAutoHyphens w:val="0"/>
              <w:spacing w:after="0"/>
              <w:jc w:val="center"/>
              <w:rPr>
                <w:rFonts w:ascii="Calibri" w:hAnsi="Calibri" w:eastAsia="Times New Roman" w:cs="Calibri"/>
                <w:b/>
                <w:bCs/>
                <w:color w:val="000000"/>
                <w:sz w:val="16"/>
                <w:szCs w:val="16"/>
                <w:lang w:eastAsia="es-CO"/>
              </w:rPr>
            </w:pPr>
            <w:r w:rsidRPr="00F66E15">
              <w:rPr>
                <w:rFonts w:ascii="Calibri" w:hAnsi="Calibri" w:eastAsia="Times New Roman" w:cs="Calibri"/>
                <w:b/>
                <w:bCs/>
                <w:color w:val="000000"/>
                <w:sz w:val="16"/>
                <w:szCs w:val="16"/>
                <w:lang w:eastAsia="es-CO"/>
              </w:rPr>
              <w:t>Actividades</w:t>
            </w:r>
          </w:p>
        </w:tc>
        <w:tc>
          <w:tcPr>
            <w:tcW w:w="960" w:type="dxa"/>
            <w:vMerge w:val="restart"/>
            <w:shd w:val="clear" w:color="000000" w:fill="D9E1F2"/>
            <w:vAlign w:val="center"/>
            <w:hideMark/>
          </w:tcPr>
          <w:p w:rsidRPr="00F66E15" w:rsidR="00F66E15" w:rsidP="00D97D31" w:rsidRDefault="00F66E15" w14:paraId="2F1B17A3" w14:textId="77777777">
            <w:pPr>
              <w:suppressAutoHyphens w:val="0"/>
              <w:spacing w:after="0"/>
              <w:jc w:val="center"/>
              <w:rPr>
                <w:rFonts w:ascii="Calibri" w:hAnsi="Calibri" w:eastAsia="Times New Roman" w:cs="Calibri"/>
                <w:b/>
                <w:bCs/>
                <w:color w:val="000000"/>
                <w:sz w:val="16"/>
                <w:szCs w:val="16"/>
                <w:lang w:eastAsia="es-CO"/>
              </w:rPr>
            </w:pPr>
            <w:r w:rsidRPr="00F66E15">
              <w:rPr>
                <w:rFonts w:ascii="Calibri" w:hAnsi="Calibri" w:eastAsia="Times New Roman" w:cs="Calibri"/>
                <w:b/>
                <w:bCs/>
                <w:color w:val="000000"/>
                <w:sz w:val="16"/>
                <w:szCs w:val="16"/>
                <w:lang w:eastAsia="es-CO"/>
              </w:rPr>
              <w:t xml:space="preserve">Etapa </w:t>
            </w:r>
          </w:p>
        </w:tc>
        <w:tc>
          <w:tcPr>
            <w:tcW w:w="960" w:type="dxa"/>
            <w:vMerge w:val="restart"/>
            <w:shd w:val="clear" w:color="000000" w:fill="D9E1F2"/>
            <w:vAlign w:val="center"/>
            <w:hideMark/>
          </w:tcPr>
          <w:p w:rsidRPr="00F66E15" w:rsidR="00F66E15" w:rsidP="00D97D31" w:rsidRDefault="00F66E15" w14:paraId="3D6696D1" w14:textId="77777777">
            <w:pPr>
              <w:suppressAutoHyphens w:val="0"/>
              <w:spacing w:after="0"/>
              <w:jc w:val="center"/>
              <w:rPr>
                <w:rFonts w:ascii="Calibri" w:hAnsi="Calibri" w:eastAsia="Times New Roman" w:cs="Calibri"/>
                <w:b/>
                <w:bCs/>
                <w:color w:val="000000"/>
                <w:sz w:val="16"/>
                <w:szCs w:val="16"/>
                <w:lang w:eastAsia="es-CO"/>
              </w:rPr>
            </w:pPr>
            <w:r w:rsidRPr="00F66E15">
              <w:rPr>
                <w:rFonts w:ascii="Calibri" w:hAnsi="Calibri" w:eastAsia="Times New Roman" w:cs="Calibri"/>
                <w:b/>
                <w:bCs/>
                <w:color w:val="000000"/>
                <w:sz w:val="16"/>
                <w:szCs w:val="16"/>
                <w:lang w:eastAsia="es-CO"/>
              </w:rPr>
              <w:t>Ruta Crítica</w:t>
            </w:r>
          </w:p>
        </w:tc>
        <w:tc>
          <w:tcPr>
            <w:tcW w:w="2758" w:type="dxa"/>
            <w:gridSpan w:val="2"/>
            <w:shd w:val="clear" w:color="000000" w:fill="D9E1F2"/>
            <w:vAlign w:val="center"/>
            <w:hideMark/>
          </w:tcPr>
          <w:p w:rsidRPr="00F66E15" w:rsidR="00F66E15" w:rsidP="00D97D31" w:rsidRDefault="00F66E15" w14:paraId="23B49829" w14:textId="77777777">
            <w:pPr>
              <w:suppressAutoHyphens w:val="0"/>
              <w:spacing w:after="0"/>
              <w:jc w:val="center"/>
              <w:rPr>
                <w:rFonts w:ascii="Calibri" w:hAnsi="Calibri" w:eastAsia="Times New Roman" w:cs="Calibri"/>
                <w:b/>
                <w:bCs/>
                <w:color w:val="000000"/>
                <w:sz w:val="16"/>
                <w:szCs w:val="16"/>
                <w:lang w:eastAsia="es-CO"/>
              </w:rPr>
            </w:pPr>
            <w:r w:rsidRPr="00F66E15">
              <w:rPr>
                <w:rFonts w:ascii="Calibri" w:hAnsi="Calibri" w:eastAsia="Times New Roman" w:cs="Calibri"/>
                <w:b/>
                <w:bCs/>
                <w:color w:val="000000"/>
                <w:sz w:val="16"/>
                <w:szCs w:val="16"/>
                <w:lang w:eastAsia="es-CO"/>
              </w:rPr>
              <w:t>Afectación presupuestal</w:t>
            </w:r>
          </w:p>
        </w:tc>
      </w:tr>
      <w:tr w:rsidRPr="00F66E15" w:rsidR="00C17450" w:rsidTr="00C17450" w14:paraId="098031FA" w14:textId="77777777">
        <w:trPr>
          <w:trHeight w:val="615"/>
        </w:trPr>
        <w:tc>
          <w:tcPr>
            <w:tcW w:w="851" w:type="dxa"/>
            <w:vMerge/>
            <w:vAlign w:val="center"/>
            <w:hideMark/>
          </w:tcPr>
          <w:p w:rsidRPr="00F66E15" w:rsidR="00F66E15" w:rsidP="00D97D31" w:rsidRDefault="00F66E15" w14:paraId="029C5776" w14:textId="77777777">
            <w:pPr>
              <w:suppressAutoHyphens w:val="0"/>
              <w:spacing w:after="0"/>
              <w:rPr>
                <w:rFonts w:ascii="Calibri" w:hAnsi="Calibri" w:eastAsia="Times New Roman" w:cs="Calibri"/>
                <w:b/>
                <w:bCs/>
                <w:color w:val="000000"/>
                <w:sz w:val="16"/>
                <w:szCs w:val="16"/>
                <w:lang w:eastAsia="es-CO"/>
              </w:rPr>
            </w:pPr>
          </w:p>
        </w:tc>
        <w:tc>
          <w:tcPr>
            <w:tcW w:w="1418" w:type="dxa"/>
            <w:vMerge/>
            <w:vAlign w:val="center"/>
            <w:hideMark/>
          </w:tcPr>
          <w:p w:rsidRPr="00F66E15" w:rsidR="00F66E15" w:rsidP="00D97D31" w:rsidRDefault="00F66E15" w14:paraId="42D40CC7" w14:textId="77777777">
            <w:pPr>
              <w:suppressAutoHyphens w:val="0"/>
              <w:spacing w:after="0"/>
              <w:rPr>
                <w:rFonts w:ascii="Calibri" w:hAnsi="Calibri" w:eastAsia="Times New Roman" w:cs="Calibri"/>
                <w:b/>
                <w:bCs/>
                <w:color w:val="000000"/>
                <w:sz w:val="16"/>
                <w:szCs w:val="16"/>
                <w:lang w:eastAsia="es-CO"/>
              </w:rPr>
            </w:pPr>
          </w:p>
        </w:tc>
        <w:tc>
          <w:tcPr>
            <w:tcW w:w="1134" w:type="dxa"/>
            <w:vMerge/>
            <w:vAlign w:val="center"/>
            <w:hideMark/>
          </w:tcPr>
          <w:p w:rsidRPr="00F66E15" w:rsidR="00F66E15" w:rsidP="00D97D31" w:rsidRDefault="00F66E15" w14:paraId="5BFB1000" w14:textId="77777777">
            <w:pPr>
              <w:suppressAutoHyphens w:val="0"/>
              <w:spacing w:after="0"/>
              <w:rPr>
                <w:rFonts w:ascii="Calibri" w:hAnsi="Calibri" w:eastAsia="Times New Roman" w:cs="Calibri"/>
                <w:b/>
                <w:bCs/>
                <w:color w:val="000000"/>
                <w:sz w:val="16"/>
                <w:szCs w:val="16"/>
                <w:lang w:eastAsia="es-CO"/>
              </w:rPr>
            </w:pPr>
          </w:p>
        </w:tc>
        <w:tc>
          <w:tcPr>
            <w:tcW w:w="980" w:type="dxa"/>
            <w:shd w:val="clear" w:color="000000" w:fill="D9E1F2"/>
            <w:vAlign w:val="center"/>
            <w:hideMark/>
          </w:tcPr>
          <w:p w:rsidRPr="00F66E15" w:rsidR="00F66E15" w:rsidP="00D97D31" w:rsidRDefault="00F66E15" w14:paraId="49A1BB72" w14:textId="77777777">
            <w:pPr>
              <w:suppressAutoHyphens w:val="0"/>
              <w:spacing w:after="0"/>
              <w:jc w:val="center"/>
              <w:rPr>
                <w:rFonts w:ascii="Calibri" w:hAnsi="Calibri" w:eastAsia="Times New Roman" w:cs="Calibri"/>
                <w:b/>
                <w:bCs/>
                <w:color w:val="000000"/>
                <w:sz w:val="16"/>
                <w:szCs w:val="16"/>
                <w:lang w:eastAsia="es-CO"/>
              </w:rPr>
            </w:pPr>
            <w:r w:rsidRPr="00F66E15">
              <w:rPr>
                <w:rFonts w:ascii="Calibri" w:hAnsi="Calibri" w:eastAsia="Times New Roman" w:cs="Calibri"/>
                <w:b/>
                <w:bCs/>
                <w:color w:val="000000"/>
                <w:sz w:val="16"/>
                <w:szCs w:val="16"/>
                <w:lang w:eastAsia="es-CO"/>
              </w:rPr>
              <w:t>En firme</w:t>
            </w:r>
          </w:p>
        </w:tc>
        <w:tc>
          <w:tcPr>
            <w:tcW w:w="980" w:type="dxa"/>
            <w:shd w:val="clear" w:color="000000" w:fill="D9E1F2"/>
            <w:vAlign w:val="center"/>
            <w:hideMark/>
          </w:tcPr>
          <w:p w:rsidRPr="00F66E15" w:rsidR="00F66E15" w:rsidP="00D97D31" w:rsidRDefault="00F66E15" w14:paraId="5CA0F062" w14:textId="77777777">
            <w:pPr>
              <w:suppressAutoHyphens w:val="0"/>
              <w:spacing w:after="0"/>
              <w:jc w:val="center"/>
              <w:rPr>
                <w:rFonts w:ascii="Calibri" w:hAnsi="Calibri" w:eastAsia="Times New Roman" w:cs="Calibri"/>
                <w:b/>
                <w:bCs/>
                <w:color w:val="000000"/>
                <w:sz w:val="16"/>
                <w:szCs w:val="16"/>
                <w:lang w:eastAsia="es-CO"/>
              </w:rPr>
            </w:pPr>
            <w:r w:rsidRPr="00F66E15">
              <w:rPr>
                <w:rFonts w:ascii="Calibri" w:hAnsi="Calibri" w:eastAsia="Times New Roman" w:cs="Calibri"/>
                <w:b/>
                <w:bCs/>
                <w:color w:val="000000"/>
                <w:sz w:val="16"/>
                <w:szCs w:val="16"/>
                <w:lang w:eastAsia="es-CO"/>
              </w:rPr>
              <w:t>Ajustada</w:t>
            </w:r>
          </w:p>
        </w:tc>
        <w:tc>
          <w:tcPr>
            <w:tcW w:w="1584" w:type="dxa"/>
            <w:vMerge/>
            <w:vAlign w:val="center"/>
            <w:hideMark/>
          </w:tcPr>
          <w:p w:rsidRPr="00F66E15" w:rsidR="00F66E15" w:rsidP="00D97D31" w:rsidRDefault="00F66E15" w14:paraId="2532D5FD" w14:textId="77777777">
            <w:pPr>
              <w:suppressAutoHyphens w:val="0"/>
              <w:spacing w:after="0"/>
              <w:rPr>
                <w:rFonts w:ascii="Calibri" w:hAnsi="Calibri" w:eastAsia="Times New Roman" w:cs="Calibri"/>
                <w:b/>
                <w:bCs/>
                <w:color w:val="000000"/>
                <w:sz w:val="16"/>
                <w:szCs w:val="16"/>
                <w:lang w:eastAsia="es-CO"/>
              </w:rPr>
            </w:pPr>
          </w:p>
        </w:tc>
        <w:tc>
          <w:tcPr>
            <w:tcW w:w="960" w:type="dxa"/>
            <w:vMerge/>
            <w:vAlign w:val="center"/>
            <w:hideMark/>
          </w:tcPr>
          <w:p w:rsidRPr="00F66E15" w:rsidR="00F66E15" w:rsidP="00D97D31" w:rsidRDefault="00F66E15" w14:paraId="2A482473" w14:textId="77777777">
            <w:pPr>
              <w:suppressAutoHyphens w:val="0"/>
              <w:spacing w:after="0"/>
              <w:rPr>
                <w:rFonts w:ascii="Calibri" w:hAnsi="Calibri" w:eastAsia="Times New Roman" w:cs="Calibri"/>
                <w:b/>
                <w:bCs/>
                <w:color w:val="000000"/>
                <w:sz w:val="16"/>
                <w:szCs w:val="16"/>
                <w:lang w:eastAsia="es-CO"/>
              </w:rPr>
            </w:pPr>
          </w:p>
        </w:tc>
        <w:tc>
          <w:tcPr>
            <w:tcW w:w="960" w:type="dxa"/>
            <w:vMerge/>
            <w:vAlign w:val="center"/>
            <w:hideMark/>
          </w:tcPr>
          <w:p w:rsidRPr="00F66E15" w:rsidR="00F66E15" w:rsidP="00D97D31" w:rsidRDefault="00F66E15" w14:paraId="2CAB2BF1" w14:textId="77777777">
            <w:pPr>
              <w:suppressAutoHyphens w:val="0"/>
              <w:spacing w:after="0"/>
              <w:rPr>
                <w:rFonts w:ascii="Calibri" w:hAnsi="Calibri" w:eastAsia="Times New Roman" w:cs="Calibri"/>
                <w:b/>
                <w:bCs/>
                <w:color w:val="000000"/>
                <w:sz w:val="16"/>
                <w:szCs w:val="16"/>
                <w:lang w:eastAsia="es-CO"/>
              </w:rPr>
            </w:pPr>
          </w:p>
        </w:tc>
        <w:tc>
          <w:tcPr>
            <w:tcW w:w="1340" w:type="dxa"/>
            <w:shd w:val="clear" w:color="000000" w:fill="D9E1F2"/>
            <w:vAlign w:val="center"/>
            <w:hideMark/>
          </w:tcPr>
          <w:p w:rsidRPr="00F66E15" w:rsidR="00F66E15" w:rsidP="00D97D31" w:rsidRDefault="00F66E15" w14:paraId="3DC18010" w14:textId="77777777">
            <w:pPr>
              <w:suppressAutoHyphens w:val="0"/>
              <w:spacing w:after="0"/>
              <w:jc w:val="center"/>
              <w:rPr>
                <w:rFonts w:ascii="Calibri" w:hAnsi="Calibri" w:eastAsia="Times New Roman" w:cs="Calibri"/>
                <w:b/>
                <w:bCs/>
                <w:color w:val="000000"/>
                <w:sz w:val="16"/>
                <w:szCs w:val="16"/>
                <w:lang w:eastAsia="es-CO"/>
              </w:rPr>
            </w:pPr>
            <w:proofErr w:type="spellStart"/>
            <w:r w:rsidRPr="00F66E15">
              <w:rPr>
                <w:rFonts w:ascii="Calibri" w:hAnsi="Calibri" w:eastAsia="Times New Roman" w:cs="Calibri"/>
                <w:b/>
                <w:bCs/>
                <w:color w:val="000000"/>
                <w:sz w:val="16"/>
                <w:szCs w:val="16"/>
                <w:lang w:eastAsia="es-CO"/>
              </w:rPr>
              <w:t>Apropiacion</w:t>
            </w:r>
            <w:proofErr w:type="spellEnd"/>
            <w:r w:rsidRPr="00F66E15">
              <w:rPr>
                <w:rFonts w:ascii="Calibri" w:hAnsi="Calibri" w:eastAsia="Times New Roman" w:cs="Calibri"/>
                <w:b/>
                <w:bCs/>
                <w:color w:val="000000"/>
                <w:sz w:val="16"/>
                <w:szCs w:val="16"/>
                <w:lang w:eastAsia="es-CO"/>
              </w:rPr>
              <w:t xml:space="preserve"> Vigente </w:t>
            </w:r>
          </w:p>
        </w:tc>
        <w:tc>
          <w:tcPr>
            <w:tcW w:w="1418" w:type="dxa"/>
            <w:shd w:val="clear" w:color="000000" w:fill="D9E1F2"/>
            <w:vAlign w:val="center"/>
            <w:hideMark/>
          </w:tcPr>
          <w:p w:rsidRPr="00F66E15" w:rsidR="00F66E15" w:rsidP="00D97D31" w:rsidRDefault="00F66E15" w14:paraId="435AB28A" w14:textId="77777777">
            <w:pPr>
              <w:suppressAutoHyphens w:val="0"/>
              <w:spacing w:after="0"/>
              <w:jc w:val="center"/>
              <w:rPr>
                <w:rFonts w:ascii="Calibri" w:hAnsi="Calibri" w:eastAsia="Times New Roman" w:cs="Calibri"/>
                <w:b/>
                <w:bCs/>
                <w:color w:val="000000"/>
                <w:sz w:val="16"/>
                <w:szCs w:val="16"/>
                <w:lang w:eastAsia="es-CO"/>
              </w:rPr>
            </w:pPr>
            <w:r w:rsidRPr="00F66E15">
              <w:rPr>
                <w:rFonts w:ascii="Calibri" w:hAnsi="Calibri" w:eastAsia="Times New Roman" w:cs="Calibri"/>
                <w:b/>
                <w:bCs/>
                <w:color w:val="000000"/>
                <w:sz w:val="16"/>
                <w:szCs w:val="16"/>
                <w:lang w:eastAsia="es-CO"/>
              </w:rPr>
              <w:t>Recurso disponible 2026</w:t>
            </w:r>
          </w:p>
        </w:tc>
      </w:tr>
      <w:tr w:rsidRPr="00F66E15" w:rsidR="00C17450" w:rsidTr="00C17450" w14:paraId="5B5ACEDB" w14:textId="77777777">
        <w:trPr>
          <w:trHeight w:val="1215"/>
        </w:trPr>
        <w:tc>
          <w:tcPr>
            <w:tcW w:w="851" w:type="dxa"/>
            <w:vMerge w:val="restart"/>
            <w:vAlign w:val="center"/>
            <w:hideMark/>
          </w:tcPr>
          <w:p w:rsidRPr="00F66E15" w:rsidR="00F66E15" w:rsidP="00D97D31" w:rsidRDefault="00F66E15" w14:paraId="1609EF22" w14:textId="77777777">
            <w:pPr>
              <w:suppressAutoHyphens w:val="0"/>
              <w:spacing w:after="0"/>
              <w:jc w:val="center"/>
              <w:rPr>
                <w:rFonts w:ascii="Calibri" w:hAnsi="Calibri" w:eastAsia="Times New Roman" w:cs="Calibri"/>
                <w:color w:val="000000"/>
                <w:sz w:val="16"/>
                <w:szCs w:val="16"/>
                <w:lang w:eastAsia="es-CO"/>
              </w:rPr>
            </w:pPr>
            <w:r w:rsidRPr="00F66E15">
              <w:rPr>
                <w:rFonts w:ascii="Calibri" w:hAnsi="Calibri" w:eastAsia="Times New Roman" w:cs="Calibri"/>
                <w:color w:val="000000"/>
                <w:sz w:val="16"/>
                <w:szCs w:val="16"/>
                <w:lang w:eastAsia="es-CO"/>
              </w:rPr>
              <w:t>Aumentar la capacidad de la infraestructura frente al incremento de la demanda del servicio de energía eléctrica</w:t>
            </w:r>
          </w:p>
        </w:tc>
        <w:tc>
          <w:tcPr>
            <w:tcW w:w="1418" w:type="dxa"/>
            <w:vMerge w:val="restart"/>
            <w:vAlign w:val="center"/>
            <w:hideMark/>
          </w:tcPr>
          <w:p w:rsidRPr="00F66E15" w:rsidR="00F66E15" w:rsidP="00D97D31" w:rsidRDefault="00F66E15" w14:paraId="16279E61" w14:textId="77777777">
            <w:pPr>
              <w:suppressAutoHyphens w:val="0"/>
              <w:spacing w:after="0"/>
              <w:jc w:val="center"/>
              <w:rPr>
                <w:rFonts w:ascii="Calibri" w:hAnsi="Calibri" w:eastAsia="Times New Roman" w:cs="Calibri"/>
                <w:color w:val="000000"/>
                <w:sz w:val="16"/>
                <w:szCs w:val="16"/>
                <w:lang w:eastAsia="es-CO"/>
              </w:rPr>
            </w:pPr>
            <w:r w:rsidRPr="00F66E15">
              <w:rPr>
                <w:rFonts w:ascii="Calibri" w:hAnsi="Calibri" w:eastAsia="Times New Roman" w:cs="Calibri"/>
                <w:color w:val="000000"/>
                <w:sz w:val="16"/>
                <w:szCs w:val="16"/>
                <w:lang w:eastAsia="es-CO"/>
              </w:rPr>
              <w:t>1.1. Servicio de apoyo financiero para la normalización de redes de energía eléctrica</w:t>
            </w:r>
          </w:p>
        </w:tc>
        <w:tc>
          <w:tcPr>
            <w:tcW w:w="1134" w:type="dxa"/>
            <w:vMerge w:val="restart"/>
            <w:vAlign w:val="center"/>
            <w:hideMark/>
          </w:tcPr>
          <w:p w:rsidRPr="00F66E15" w:rsidR="00F66E15" w:rsidP="00D97D31" w:rsidRDefault="00F66E15" w14:paraId="08F3BD78" w14:textId="77777777">
            <w:pPr>
              <w:suppressAutoHyphens w:val="0"/>
              <w:spacing w:after="0"/>
              <w:jc w:val="center"/>
              <w:rPr>
                <w:rFonts w:ascii="Calibri" w:hAnsi="Calibri" w:eastAsia="Times New Roman" w:cs="Calibri"/>
                <w:color w:val="000000"/>
                <w:sz w:val="16"/>
                <w:szCs w:val="16"/>
                <w:lang w:eastAsia="es-CO"/>
              </w:rPr>
            </w:pPr>
            <w:r w:rsidRPr="00F66E15">
              <w:rPr>
                <w:rFonts w:ascii="Calibri" w:hAnsi="Calibri" w:eastAsia="Times New Roman" w:cs="Calibri"/>
                <w:color w:val="000000"/>
                <w:sz w:val="16"/>
                <w:szCs w:val="16"/>
                <w:lang w:eastAsia="es-CO"/>
              </w:rPr>
              <w:t xml:space="preserve">Usuarios beneficiados con la </w:t>
            </w:r>
            <w:proofErr w:type="spellStart"/>
            <w:r w:rsidRPr="00F66E15">
              <w:rPr>
                <w:rFonts w:ascii="Calibri" w:hAnsi="Calibri" w:eastAsia="Times New Roman" w:cs="Calibri"/>
                <w:color w:val="000000"/>
                <w:sz w:val="16"/>
                <w:szCs w:val="16"/>
                <w:lang w:eastAsia="es-CO"/>
              </w:rPr>
              <w:t>normalizacion</w:t>
            </w:r>
            <w:proofErr w:type="spellEnd"/>
            <w:r w:rsidRPr="00F66E15">
              <w:rPr>
                <w:rFonts w:ascii="Calibri" w:hAnsi="Calibri" w:eastAsia="Times New Roman" w:cs="Calibri"/>
                <w:color w:val="000000"/>
                <w:sz w:val="16"/>
                <w:szCs w:val="16"/>
                <w:lang w:eastAsia="es-CO"/>
              </w:rPr>
              <w:t xml:space="preserve"> del servicio de energía eléctrica</w:t>
            </w:r>
          </w:p>
        </w:tc>
        <w:tc>
          <w:tcPr>
            <w:tcW w:w="980" w:type="dxa"/>
            <w:vMerge w:val="restart"/>
            <w:noWrap/>
            <w:vAlign w:val="center"/>
            <w:hideMark/>
          </w:tcPr>
          <w:p w:rsidRPr="00F66E15" w:rsidR="00F66E15" w:rsidP="00D97D31" w:rsidRDefault="00F66E15" w14:paraId="09B849FD" w14:textId="77777777">
            <w:pPr>
              <w:suppressAutoHyphens w:val="0"/>
              <w:spacing w:after="0"/>
              <w:jc w:val="center"/>
              <w:rPr>
                <w:rFonts w:ascii="Calibri" w:hAnsi="Calibri" w:eastAsia="Times New Roman" w:cs="Calibri"/>
                <w:color w:val="000000"/>
                <w:sz w:val="16"/>
                <w:szCs w:val="16"/>
                <w:lang w:eastAsia="es-CO"/>
              </w:rPr>
            </w:pPr>
            <w:r w:rsidRPr="00F66E15">
              <w:rPr>
                <w:rFonts w:ascii="Calibri" w:hAnsi="Calibri" w:eastAsia="Times New Roman" w:cs="Calibri"/>
                <w:color w:val="000000"/>
                <w:sz w:val="16"/>
                <w:szCs w:val="16"/>
                <w:lang w:eastAsia="es-CO"/>
              </w:rPr>
              <w:t>101,947</w:t>
            </w:r>
          </w:p>
        </w:tc>
        <w:tc>
          <w:tcPr>
            <w:tcW w:w="980" w:type="dxa"/>
            <w:vMerge w:val="restart"/>
            <w:noWrap/>
            <w:vAlign w:val="center"/>
            <w:hideMark/>
          </w:tcPr>
          <w:p w:rsidRPr="00F66E15" w:rsidR="00F66E15" w:rsidP="00D97D31" w:rsidRDefault="00F66E15" w14:paraId="7DFB1485" w14:textId="77777777">
            <w:pPr>
              <w:suppressAutoHyphens w:val="0"/>
              <w:spacing w:after="0"/>
              <w:jc w:val="center"/>
              <w:rPr>
                <w:rFonts w:ascii="Calibri" w:hAnsi="Calibri" w:eastAsia="Times New Roman" w:cs="Calibri"/>
                <w:color w:val="000000"/>
                <w:sz w:val="16"/>
                <w:szCs w:val="16"/>
                <w:lang w:eastAsia="es-CO"/>
              </w:rPr>
            </w:pPr>
            <w:r w:rsidRPr="00F66E15">
              <w:rPr>
                <w:rFonts w:ascii="Calibri" w:hAnsi="Calibri" w:eastAsia="Times New Roman" w:cs="Calibri"/>
                <w:color w:val="000000"/>
                <w:sz w:val="16"/>
                <w:szCs w:val="16"/>
                <w:lang w:eastAsia="es-CO"/>
              </w:rPr>
              <w:t>110,947</w:t>
            </w:r>
          </w:p>
        </w:tc>
        <w:tc>
          <w:tcPr>
            <w:tcW w:w="1584" w:type="dxa"/>
            <w:vAlign w:val="center"/>
            <w:hideMark/>
          </w:tcPr>
          <w:p w:rsidRPr="00F66E15" w:rsidR="00F66E15" w:rsidP="00D97D31" w:rsidRDefault="00F66E15" w14:paraId="244F3990" w14:textId="77777777">
            <w:pPr>
              <w:suppressAutoHyphens w:val="0"/>
              <w:spacing w:after="0"/>
              <w:rPr>
                <w:rFonts w:ascii="Calibri" w:hAnsi="Calibri" w:eastAsia="Times New Roman" w:cs="Calibri"/>
                <w:color w:val="000000"/>
                <w:sz w:val="16"/>
                <w:szCs w:val="16"/>
                <w:lang w:eastAsia="es-CO"/>
              </w:rPr>
            </w:pPr>
            <w:r w:rsidRPr="00F66E15">
              <w:rPr>
                <w:rFonts w:ascii="Calibri" w:hAnsi="Calibri" w:eastAsia="Times New Roman" w:cs="Calibri"/>
                <w:color w:val="000000"/>
                <w:sz w:val="16"/>
                <w:szCs w:val="16"/>
                <w:lang w:eastAsia="es-CO"/>
              </w:rPr>
              <w:t>1.1.1. Girar los recursos destinados a Financiar la Normalización de Redes de energía Eléctrica en barrios Subnormales situados en Municipios del Sistema Interconectado Nacional, SIN</w:t>
            </w:r>
          </w:p>
        </w:tc>
        <w:tc>
          <w:tcPr>
            <w:tcW w:w="960" w:type="dxa"/>
            <w:vAlign w:val="center"/>
            <w:hideMark/>
          </w:tcPr>
          <w:p w:rsidRPr="00F66E15" w:rsidR="00F66E15" w:rsidP="00D97D31" w:rsidRDefault="00F66E15" w14:paraId="0E601DE9" w14:textId="77777777">
            <w:pPr>
              <w:suppressAutoHyphens w:val="0"/>
              <w:spacing w:after="0"/>
              <w:rPr>
                <w:rFonts w:ascii="Calibri" w:hAnsi="Calibri" w:eastAsia="Times New Roman" w:cs="Calibri"/>
                <w:color w:val="000000"/>
                <w:sz w:val="16"/>
                <w:szCs w:val="16"/>
                <w:lang w:eastAsia="es-CO"/>
              </w:rPr>
            </w:pPr>
            <w:r w:rsidRPr="00F66E15">
              <w:rPr>
                <w:rFonts w:ascii="Calibri" w:hAnsi="Calibri" w:eastAsia="Times New Roman" w:cs="Calibri"/>
                <w:color w:val="000000"/>
                <w:sz w:val="16"/>
                <w:szCs w:val="16"/>
                <w:lang w:eastAsia="es-CO"/>
              </w:rPr>
              <w:t>Inversión</w:t>
            </w:r>
          </w:p>
        </w:tc>
        <w:tc>
          <w:tcPr>
            <w:tcW w:w="960" w:type="dxa"/>
            <w:vAlign w:val="center"/>
            <w:hideMark/>
          </w:tcPr>
          <w:p w:rsidRPr="00F66E15" w:rsidR="00F66E15" w:rsidP="00D97D31" w:rsidRDefault="00F66E15" w14:paraId="186829E5" w14:textId="77777777">
            <w:pPr>
              <w:suppressAutoHyphens w:val="0"/>
              <w:spacing w:after="0"/>
              <w:jc w:val="center"/>
              <w:rPr>
                <w:rFonts w:ascii="Calibri" w:hAnsi="Calibri" w:eastAsia="Times New Roman" w:cs="Calibri"/>
                <w:color w:val="000000"/>
                <w:sz w:val="16"/>
                <w:szCs w:val="16"/>
                <w:lang w:eastAsia="es-CO"/>
              </w:rPr>
            </w:pPr>
            <w:r w:rsidRPr="00F66E15">
              <w:rPr>
                <w:rFonts w:ascii="Calibri" w:hAnsi="Calibri" w:eastAsia="Times New Roman" w:cs="Calibri"/>
                <w:color w:val="000000"/>
                <w:sz w:val="16"/>
                <w:szCs w:val="16"/>
                <w:lang w:eastAsia="es-CO"/>
              </w:rPr>
              <w:t>Si</w:t>
            </w:r>
          </w:p>
        </w:tc>
        <w:tc>
          <w:tcPr>
            <w:tcW w:w="1340" w:type="dxa"/>
            <w:vMerge w:val="restart"/>
            <w:noWrap/>
            <w:vAlign w:val="center"/>
            <w:hideMark/>
          </w:tcPr>
          <w:p w:rsidRPr="00F66E15" w:rsidR="00F66E15" w:rsidP="00D97D31" w:rsidRDefault="00F66E15" w14:paraId="6F1BFD25" w14:textId="77777777">
            <w:pPr>
              <w:suppressAutoHyphens w:val="0"/>
              <w:spacing w:after="0"/>
              <w:jc w:val="center"/>
              <w:rPr>
                <w:rFonts w:ascii="Calibri" w:hAnsi="Calibri" w:eastAsia="Times New Roman" w:cs="Calibri"/>
                <w:color w:val="000000"/>
                <w:sz w:val="16"/>
                <w:szCs w:val="16"/>
                <w:lang w:eastAsia="es-CO"/>
              </w:rPr>
            </w:pPr>
            <w:r w:rsidRPr="00F66E15">
              <w:rPr>
                <w:rFonts w:ascii="Calibri" w:hAnsi="Calibri" w:eastAsia="Times New Roman" w:cs="Calibri"/>
                <w:color w:val="000000"/>
                <w:sz w:val="16"/>
                <w:szCs w:val="16"/>
                <w:lang w:eastAsia="es-CO"/>
              </w:rPr>
              <w:t>$ 140,000,000,000</w:t>
            </w:r>
          </w:p>
        </w:tc>
        <w:tc>
          <w:tcPr>
            <w:tcW w:w="1418" w:type="dxa"/>
            <w:vAlign w:val="center"/>
            <w:hideMark/>
          </w:tcPr>
          <w:p w:rsidRPr="00F66E15" w:rsidR="00F66E15" w:rsidP="00D97D31" w:rsidRDefault="00F66E15" w14:paraId="1FCB752C" w14:textId="77777777">
            <w:pPr>
              <w:suppressAutoHyphens w:val="0"/>
              <w:spacing w:after="0"/>
              <w:jc w:val="center"/>
              <w:rPr>
                <w:rFonts w:ascii="Calibri" w:hAnsi="Calibri" w:eastAsia="Times New Roman" w:cs="Calibri"/>
                <w:color w:val="000000"/>
                <w:sz w:val="16"/>
                <w:szCs w:val="16"/>
                <w:lang w:eastAsia="es-CO"/>
              </w:rPr>
            </w:pPr>
          </w:p>
        </w:tc>
      </w:tr>
      <w:tr w:rsidRPr="00F66E15" w:rsidR="00C17450" w:rsidTr="00C17450" w14:paraId="5CFB6ECE" w14:textId="77777777">
        <w:trPr>
          <w:trHeight w:val="615"/>
        </w:trPr>
        <w:tc>
          <w:tcPr>
            <w:tcW w:w="851" w:type="dxa"/>
            <w:vMerge/>
            <w:vAlign w:val="center"/>
            <w:hideMark/>
          </w:tcPr>
          <w:p w:rsidRPr="00F66E15" w:rsidR="00F66E15" w:rsidP="00D97D31" w:rsidRDefault="00F66E15" w14:paraId="45BE9867" w14:textId="77777777">
            <w:pPr>
              <w:suppressAutoHyphens w:val="0"/>
              <w:spacing w:after="0"/>
              <w:rPr>
                <w:rFonts w:ascii="Calibri" w:hAnsi="Calibri" w:eastAsia="Times New Roman" w:cs="Calibri"/>
                <w:color w:val="000000"/>
                <w:sz w:val="16"/>
                <w:szCs w:val="16"/>
                <w:lang w:eastAsia="es-CO"/>
              </w:rPr>
            </w:pPr>
          </w:p>
        </w:tc>
        <w:tc>
          <w:tcPr>
            <w:tcW w:w="1418" w:type="dxa"/>
            <w:vMerge/>
            <w:vAlign w:val="center"/>
            <w:hideMark/>
          </w:tcPr>
          <w:p w:rsidRPr="00F66E15" w:rsidR="00F66E15" w:rsidP="00D97D31" w:rsidRDefault="00F66E15" w14:paraId="3BE97006" w14:textId="77777777">
            <w:pPr>
              <w:suppressAutoHyphens w:val="0"/>
              <w:spacing w:after="0"/>
              <w:rPr>
                <w:rFonts w:ascii="Calibri" w:hAnsi="Calibri" w:eastAsia="Times New Roman" w:cs="Calibri"/>
                <w:color w:val="000000"/>
                <w:sz w:val="16"/>
                <w:szCs w:val="16"/>
                <w:lang w:eastAsia="es-CO"/>
              </w:rPr>
            </w:pPr>
          </w:p>
        </w:tc>
        <w:tc>
          <w:tcPr>
            <w:tcW w:w="1134" w:type="dxa"/>
            <w:vMerge/>
            <w:vAlign w:val="center"/>
            <w:hideMark/>
          </w:tcPr>
          <w:p w:rsidRPr="00F66E15" w:rsidR="00F66E15" w:rsidP="00D97D31" w:rsidRDefault="00F66E15" w14:paraId="057B7066" w14:textId="77777777">
            <w:pPr>
              <w:suppressAutoHyphens w:val="0"/>
              <w:spacing w:after="0"/>
              <w:rPr>
                <w:rFonts w:ascii="Calibri" w:hAnsi="Calibri" w:eastAsia="Times New Roman" w:cs="Calibri"/>
                <w:color w:val="000000"/>
                <w:sz w:val="16"/>
                <w:szCs w:val="16"/>
                <w:lang w:eastAsia="es-CO"/>
              </w:rPr>
            </w:pPr>
          </w:p>
        </w:tc>
        <w:tc>
          <w:tcPr>
            <w:tcW w:w="980" w:type="dxa"/>
            <w:vMerge/>
            <w:vAlign w:val="center"/>
            <w:hideMark/>
          </w:tcPr>
          <w:p w:rsidRPr="00F66E15" w:rsidR="00F66E15" w:rsidP="00D97D31" w:rsidRDefault="00F66E15" w14:paraId="6B93A0D7" w14:textId="77777777">
            <w:pPr>
              <w:suppressAutoHyphens w:val="0"/>
              <w:spacing w:after="0"/>
              <w:rPr>
                <w:rFonts w:ascii="Calibri" w:hAnsi="Calibri" w:eastAsia="Times New Roman" w:cs="Calibri"/>
                <w:color w:val="000000"/>
                <w:sz w:val="16"/>
                <w:szCs w:val="16"/>
                <w:lang w:eastAsia="es-CO"/>
              </w:rPr>
            </w:pPr>
          </w:p>
        </w:tc>
        <w:tc>
          <w:tcPr>
            <w:tcW w:w="980" w:type="dxa"/>
            <w:vMerge/>
            <w:vAlign w:val="center"/>
            <w:hideMark/>
          </w:tcPr>
          <w:p w:rsidRPr="00F66E15" w:rsidR="00F66E15" w:rsidP="00D97D31" w:rsidRDefault="00F66E15" w14:paraId="198E4341" w14:textId="77777777">
            <w:pPr>
              <w:suppressAutoHyphens w:val="0"/>
              <w:spacing w:after="0"/>
              <w:rPr>
                <w:rFonts w:ascii="Calibri" w:hAnsi="Calibri" w:eastAsia="Times New Roman" w:cs="Calibri"/>
                <w:color w:val="000000"/>
                <w:sz w:val="16"/>
                <w:szCs w:val="16"/>
                <w:lang w:eastAsia="es-CO"/>
              </w:rPr>
            </w:pPr>
          </w:p>
        </w:tc>
        <w:tc>
          <w:tcPr>
            <w:tcW w:w="1584" w:type="dxa"/>
            <w:vAlign w:val="center"/>
            <w:hideMark/>
          </w:tcPr>
          <w:p w:rsidRPr="00F66E15" w:rsidR="00F66E15" w:rsidP="00D97D31" w:rsidRDefault="00F66E15" w14:paraId="01B6E4DE" w14:textId="77777777">
            <w:pPr>
              <w:suppressAutoHyphens w:val="0"/>
              <w:spacing w:after="0"/>
              <w:rPr>
                <w:rFonts w:ascii="Calibri" w:hAnsi="Calibri" w:eastAsia="Times New Roman" w:cs="Calibri"/>
                <w:color w:val="000000"/>
                <w:sz w:val="16"/>
                <w:szCs w:val="16"/>
                <w:lang w:eastAsia="es-CO"/>
              </w:rPr>
            </w:pPr>
            <w:r w:rsidRPr="00F66E15">
              <w:rPr>
                <w:rFonts w:ascii="Calibri" w:hAnsi="Calibri" w:eastAsia="Times New Roman" w:cs="Calibri"/>
                <w:color w:val="000000"/>
                <w:sz w:val="16"/>
                <w:szCs w:val="16"/>
                <w:lang w:eastAsia="es-CO"/>
              </w:rPr>
              <w:t>1.1.2. Realizar seguimiento a la ejecución de los proyectos</w:t>
            </w:r>
          </w:p>
        </w:tc>
        <w:tc>
          <w:tcPr>
            <w:tcW w:w="960" w:type="dxa"/>
            <w:vAlign w:val="center"/>
            <w:hideMark/>
          </w:tcPr>
          <w:p w:rsidRPr="00F66E15" w:rsidR="00F66E15" w:rsidP="00D97D31" w:rsidRDefault="00F66E15" w14:paraId="6076BA5D" w14:textId="77777777">
            <w:pPr>
              <w:suppressAutoHyphens w:val="0"/>
              <w:spacing w:after="0"/>
              <w:rPr>
                <w:rFonts w:ascii="Calibri" w:hAnsi="Calibri" w:eastAsia="Times New Roman" w:cs="Calibri"/>
                <w:color w:val="000000"/>
                <w:sz w:val="16"/>
                <w:szCs w:val="16"/>
                <w:lang w:eastAsia="es-CO"/>
              </w:rPr>
            </w:pPr>
            <w:r w:rsidRPr="00F66E15">
              <w:rPr>
                <w:rFonts w:ascii="Calibri" w:hAnsi="Calibri" w:eastAsia="Times New Roman" w:cs="Calibri"/>
                <w:color w:val="000000"/>
                <w:sz w:val="16"/>
                <w:szCs w:val="16"/>
                <w:lang w:eastAsia="es-CO"/>
              </w:rPr>
              <w:t>Inversión</w:t>
            </w:r>
          </w:p>
        </w:tc>
        <w:tc>
          <w:tcPr>
            <w:tcW w:w="960" w:type="dxa"/>
            <w:vAlign w:val="center"/>
            <w:hideMark/>
          </w:tcPr>
          <w:p w:rsidRPr="00F66E15" w:rsidR="00F66E15" w:rsidP="00D97D31" w:rsidRDefault="00F66E15" w14:paraId="45D877F3" w14:textId="77777777">
            <w:pPr>
              <w:suppressAutoHyphens w:val="0"/>
              <w:spacing w:after="0"/>
              <w:jc w:val="center"/>
              <w:rPr>
                <w:rFonts w:ascii="Calibri" w:hAnsi="Calibri" w:eastAsia="Times New Roman" w:cs="Calibri"/>
                <w:color w:val="000000"/>
                <w:sz w:val="16"/>
                <w:szCs w:val="16"/>
                <w:lang w:eastAsia="es-CO"/>
              </w:rPr>
            </w:pPr>
            <w:r w:rsidRPr="00F66E15">
              <w:rPr>
                <w:rFonts w:ascii="Calibri" w:hAnsi="Calibri" w:eastAsia="Times New Roman" w:cs="Calibri"/>
                <w:color w:val="000000"/>
                <w:sz w:val="16"/>
                <w:szCs w:val="16"/>
                <w:lang w:eastAsia="es-CO"/>
              </w:rPr>
              <w:t>No</w:t>
            </w:r>
          </w:p>
        </w:tc>
        <w:tc>
          <w:tcPr>
            <w:tcW w:w="1340" w:type="dxa"/>
            <w:vMerge/>
            <w:vAlign w:val="center"/>
            <w:hideMark/>
          </w:tcPr>
          <w:p w:rsidRPr="00F66E15" w:rsidR="00F66E15" w:rsidP="00D97D31" w:rsidRDefault="00F66E15" w14:paraId="1C7E80EB" w14:textId="77777777">
            <w:pPr>
              <w:suppressAutoHyphens w:val="0"/>
              <w:spacing w:after="0"/>
              <w:rPr>
                <w:rFonts w:ascii="Calibri" w:hAnsi="Calibri" w:eastAsia="Times New Roman" w:cs="Calibri"/>
                <w:color w:val="000000"/>
                <w:sz w:val="16"/>
                <w:szCs w:val="16"/>
                <w:lang w:eastAsia="es-CO"/>
              </w:rPr>
            </w:pPr>
          </w:p>
        </w:tc>
        <w:tc>
          <w:tcPr>
            <w:tcW w:w="1418" w:type="dxa"/>
            <w:vAlign w:val="center"/>
            <w:hideMark/>
          </w:tcPr>
          <w:p w:rsidRPr="00F66E15" w:rsidR="00F66E15" w:rsidP="00D97D31" w:rsidRDefault="00F66E15" w14:paraId="3C247078" w14:textId="77777777">
            <w:pPr>
              <w:suppressAutoHyphens w:val="0"/>
              <w:spacing w:after="0"/>
              <w:jc w:val="center"/>
              <w:rPr>
                <w:rFonts w:ascii="Calibri" w:hAnsi="Calibri" w:eastAsia="Times New Roman" w:cs="Calibri"/>
                <w:color w:val="000000"/>
                <w:sz w:val="16"/>
                <w:szCs w:val="16"/>
                <w:lang w:eastAsia="es-CO"/>
              </w:rPr>
            </w:pPr>
          </w:p>
        </w:tc>
      </w:tr>
      <w:tr w:rsidRPr="00F66E15" w:rsidR="00C17450" w:rsidTr="00C17450" w14:paraId="2DD38F84" w14:textId="77777777">
        <w:trPr>
          <w:trHeight w:val="915"/>
        </w:trPr>
        <w:tc>
          <w:tcPr>
            <w:tcW w:w="851" w:type="dxa"/>
            <w:vMerge/>
            <w:vAlign w:val="center"/>
            <w:hideMark/>
          </w:tcPr>
          <w:p w:rsidRPr="00F66E15" w:rsidR="00F66E15" w:rsidP="00D97D31" w:rsidRDefault="00F66E15" w14:paraId="34D6AC0E" w14:textId="77777777">
            <w:pPr>
              <w:suppressAutoHyphens w:val="0"/>
              <w:spacing w:after="0"/>
              <w:rPr>
                <w:rFonts w:ascii="Calibri" w:hAnsi="Calibri" w:eastAsia="Times New Roman" w:cs="Calibri"/>
                <w:color w:val="000000"/>
                <w:sz w:val="16"/>
                <w:szCs w:val="16"/>
                <w:lang w:eastAsia="es-CO"/>
              </w:rPr>
            </w:pPr>
          </w:p>
        </w:tc>
        <w:tc>
          <w:tcPr>
            <w:tcW w:w="1418" w:type="dxa"/>
            <w:vMerge/>
            <w:vAlign w:val="center"/>
            <w:hideMark/>
          </w:tcPr>
          <w:p w:rsidRPr="00F66E15" w:rsidR="00F66E15" w:rsidP="00D97D31" w:rsidRDefault="00F66E15" w14:paraId="2A93590C" w14:textId="77777777">
            <w:pPr>
              <w:suppressAutoHyphens w:val="0"/>
              <w:spacing w:after="0"/>
              <w:rPr>
                <w:rFonts w:ascii="Calibri" w:hAnsi="Calibri" w:eastAsia="Times New Roman" w:cs="Calibri"/>
                <w:color w:val="000000"/>
                <w:sz w:val="16"/>
                <w:szCs w:val="16"/>
                <w:lang w:eastAsia="es-CO"/>
              </w:rPr>
            </w:pPr>
          </w:p>
        </w:tc>
        <w:tc>
          <w:tcPr>
            <w:tcW w:w="1134" w:type="dxa"/>
            <w:vMerge/>
            <w:vAlign w:val="center"/>
            <w:hideMark/>
          </w:tcPr>
          <w:p w:rsidRPr="00F66E15" w:rsidR="00F66E15" w:rsidP="00D97D31" w:rsidRDefault="00F66E15" w14:paraId="71CBF188" w14:textId="77777777">
            <w:pPr>
              <w:suppressAutoHyphens w:val="0"/>
              <w:spacing w:after="0"/>
              <w:rPr>
                <w:rFonts w:ascii="Calibri" w:hAnsi="Calibri" w:eastAsia="Times New Roman" w:cs="Calibri"/>
                <w:color w:val="000000"/>
                <w:sz w:val="16"/>
                <w:szCs w:val="16"/>
                <w:lang w:eastAsia="es-CO"/>
              </w:rPr>
            </w:pPr>
          </w:p>
        </w:tc>
        <w:tc>
          <w:tcPr>
            <w:tcW w:w="980" w:type="dxa"/>
            <w:vMerge/>
            <w:vAlign w:val="center"/>
            <w:hideMark/>
          </w:tcPr>
          <w:p w:rsidRPr="00F66E15" w:rsidR="00F66E15" w:rsidP="00D97D31" w:rsidRDefault="00F66E15" w14:paraId="37FDD5E2" w14:textId="77777777">
            <w:pPr>
              <w:suppressAutoHyphens w:val="0"/>
              <w:spacing w:after="0"/>
              <w:rPr>
                <w:rFonts w:ascii="Calibri" w:hAnsi="Calibri" w:eastAsia="Times New Roman" w:cs="Calibri"/>
                <w:color w:val="000000"/>
                <w:sz w:val="16"/>
                <w:szCs w:val="16"/>
                <w:lang w:eastAsia="es-CO"/>
              </w:rPr>
            </w:pPr>
          </w:p>
        </w:tc>
        <w:tc>
          <w:tcPr>
            <w:tcW w:w="980" w:type="dxa"/>
            <w:vMerge/>
            <w:vAlign w:val="center"/>
            <w:hideMark/>
          </w:tcPr>
          <w:p w:rsidRPr="00F66E15" w:rsidR="00F66E15" w:rsidP="00D97D31" w:rsidRDefault="00F66E15" w14:paraId="20031319" w14:textId="77777777">
            <w:pPr>
              <w:suppressAutoHyphens w:val="0"/>
              <w:spacing w:after="0"/>
              <w:rPr>
                <w:rFonts w:ascii="Calibri" w:hAnsi="Calibri" w:eastAsia="Times New Roman" w:cs="Calibri"/>
                <w:color w:val="000000"/>
                <w:sz w:val="16"/>
                <w:szCs w:val="16"/>
                <w:lang w:eastAsia="es-CO"/>
              </w:rPr>
            </w:pPr>
          </w:p>
        </w:tc>
        <w:tc>
          <w:tcPr>
            <w:tcW w:w="1584" w:type="dxa"/>
            <w:vAlign w:val="center"/>
            <w:hideMark/>
          </w:tcPr>
          <w:p w:rsidRPr="00F66E15" w:rsidR="00F66E15" w:rsidP="00D97D31" w:rsidRDefault="00F66E15" w14:paraId="31007150" w14:textId="77777777">
            <w:pPr>
              <w:suppressAutoHyphens w:val="0"/>
              <w:spacing w:after="0"/>
              <w:rPr>
                <w:rFonts w:ascii="Calibri" w:hAnsi="Calibri" w:eastAsia="Times New Roman" w:cs="Calibri"/>
                <w:color w:val="000000"/>
                <w:sz w:val="16"/>
                <w:szCs w:val="16"/>
                <w:lang w:eastAsia="es-CO"/>
              </w:rPr>
            </w:pPr>
            <w:r w:rsidRPr="00F66E15">
              <w:rPr>
                <w:rFonts w:ascii="Calibri" w:hAnsi="Calibri" w:eastAsia="Times New Roman" w:cs="Calibri"/>
                <w:color w:val="000000"/>
                <w:sz w:val="16"/>
                <w:szCs w:val="16"/>
                <w:lang w:eastAsia="es-CO"/>
              </w:rPr>
              <w:t>1.1.3. Girar los recursos para asistencia técnica y capacitación en el uso adecuado de la energía para su sostenibilidad</w:t>
            </w:r>
          </w:p>
        </w:tc>
        <w:tc>
          <w:tcPr>
            <w:tcW w:w="960" w:type="dxa"/>
            <w:vAlign w:val="center"/>
            <w:hideMark/>
          </w:tcPr>
          <w:p w:rsidRPr="00F66E15" w:rsidR="00F66E15" w:rsidP="00D97D31" w:rsidRDefault="00F66E15" w14:paraId="7907CB9F" w14:textId="77777777">
            <w:pPr>
              <w:suppressAutoHyphens w:val="0"/>
              <w:spacing w:after="0"/>
              <w:rPr>
                <w:rFonts w:ascii="Calibri" w:hAnsi="Calibri" w:eastAsia="Times New Roman" w:cs="Calibri"/>
                <w:color w:val="000000"/>
                <w:sz w:val="16"/>
                <w:szCs w:val="16"/>
                <w:lang w:eastAsia="es-CO"/>
              </w:rPr>
            </w:pPr>
            <w:r w:rsidRPr="00F66E15">
              <w:rPr>
                <w:rFonts w:ascii="Calibri" w:hAnsi="Calibri" w:eastAsia="Times New Roman" w:cs="Calibri"/>
                <w:color w:val="000000"/>
                <w:sz w:val="16"/>
                <w:szCs w:val="16"/>
                <w:lang w:eastAsia="es-CO"/>
              </w:rPr>
              <w:t>Inversión</w:t>
            </w:r>
          </w:p>
        </w:tc>
        <w:tc>
          <w:tcPr>
            <w:tcW w:w="960" w:type="dxa"/>
            <w:vAlign w:val="center"/>
            <w:hideMark/>
          </w:tcPr>
          <w:p w:rsidRPr="00F66E15" w:rsidR="00F66E15" w:rsidP="00D97D31" w:rsidRDefault="00F66E15" w14:paraId="3B1B907E" w14:textId="77777777">
            <w:pPr>
              <w:suppressAutoHyphens w:val="0"/>
              <w:spacing w:after="0"/>
              <w:jc w:val="center"/>
              <w:rPr>
                <w:rFonts w:ascii="Calibri" w:hAnsi="Calibri" w:eastAsia="Times New Roman" w:cs="Calibri"/>
                <w:color w:val="000000"/>
                <w:sz w:val="16"/>
                <w:szCs w:val="16"/>
                <w:lang w:eastAsia="es-CO"/>
              </w:rPr>
            </w:pPr>
            <w:r w:rsidRPr="00F66E15">
              <w:rPr>
                <w:rFonts w:ascii="Calibri" w:hAnsi="Calibri" w:eastAsia="Times New Roman" w:cs="Calibri"/>
                <w:color w:val="000000"/>
                <w:sz w:val="16"/>
                <w:szCs w:val="16"/>
                <w:lang w:eastAsia="es-CO"/>
              </w:rPr>
              <w:t>No</w:t>
            </w:r>
          </w:p>
        </w:tc>
        <w:tc>
          <w:tcPr>
            <w:tcW w:w="1340" w:type="dxa"/>
            <w:vMerge/>
            <w:vAlign w:val="center"/>
            <w:hideMark/>
          </w:tcPr>
          <w:p w:rsidRPr="00F66E15" w:rsidR="00F66E15" w:rsidP="00D97D31" w:rsidRDefault="00F66E15" w14:paraId="2B8303D2" w14:textId="77777777">
            <w:pPr>
              <w:suppressAutoHyphens w:val="0"/>
              <w:spacing w:after="0"/>
              <w:rPr>
                <w:rFonts w:ascii="Calibri" w:hAnsi="Calibri" w:eastAsia="Times New Roman" w:cs="Calibri"/>
                <w:color w:val="000000"/>
                <w:sz w:val="16"/>
                <w:szCs w:val="16"/>
                <w:lang w:eastAsia="es-CO"/>
              </w:rPr>
            </w:pPr>
          </w:p>
        </w:tc>
        <w:tc>
          <w:tcPr>
            <w:tcW w:w="1418" w:type="dxa"/>
            <w:vAlign w:val="center"/>
            <w:hideMark/>
          </w:tcPr>
          <w:p w:rsidRPr="00F66E15" w:rsidR="00F66E15" w:rsidP="00D97D31" w:rsidRDefault="00F66E15" w14:paraId="5C366528" w14:textId="77777777">
            <w:pPr>
              <w:suppressAutoHyphens w:val="0"/>
              <w:spacing w:after="0"/>
              <w:jc w:val="center"/>
              <w:rPr>
                <w:rFonts w:ascii="Calibri" w:hAnsi="Calibri" w:eastAsia="Times New Roman" w:cs="Calibri"/>
                <w:color w:val="000000"/>
                <w:sz w:val="16"/>
                <w:szCs w:val="16"/>
                <w:lang w:eastAsia="es-CO"/>
              </w:rPr>
            </w:pPr>
          </w:p>
        </w:tc>
      </w:tr>
    </w:tbl>
    <w:p w:rsidRPr="002A398A" w:rsidR="00F66E15" w:rsidP="00D97D31" w:rsidRDefault="00F66E15" w14:paraId="2011EEDF" w14:textId="77777777">
      <w:pPr>
        <w:pStyle w:val="ListParagraph"/>
        <w:spacing w:after="0" w:line="276" w:lineRule="auto"/>
        <w:jc w:val="center"/>
        <w:rPr>
          <w:rFonts w:ascii="Calibri" w:hAnsi="Calibri" w:cs="Calibri"/>
          <w:b/>
          <w:bCs/>
        </w:rPr>
      </w:pPr>
    </w:p>
    <w:p w:rsidR="00804E1A" w:rsidP="00D97D31" w:rsidRDefault="00804E1A" w14:paraId="180711F3" w14:textId="7C284BA2">
      <w:pPr>
        <w:spacing w:beforeAutospacing="1" w:afterAutospacing="1"/>
        <w:jc w:val="both"/>
      </w:pPr>
      <w:r>
        <w:t>Conforme a lo dispuesto en las Tablas 2 y 11 para el fondo PRONE se tiene una apropiación vigente de $140 mil millones los cuales se encuentran distribuidos en las actividades de financiación de</w:t>
      </w:r>
      <w:r w:rsidRPr="00804E1A">
        <w:rPr>
          <w:rFonts w:ascii="Calibri" w:hAnsi="Calibri" w:eastAsia="Times New Roman" w:cs="Calibri"/>
          <w:color w:val="000000"/>
          <w:sz w:val="16"/>
          <w:szCs w:val="16"/>
          <w:lang w:eastAsia="es-CO"/>
        </w:rPr>
        <w:t xml:space="preserve"> </w:t>
      </w:r>
      <w:r>
        <w:t>f</w:t>
      </w:r>
      <w:r w:rsidRPr="00F66E15">
        <w:t>inanciar la Normalización de Redes de energía</w:t>
      </w:r>
      <w:r>
        <w:t xml:space="preserve"> por un valor de $</w:t>
      </w:r>
      <w:r w:rsidRPr="00804E1A">
        <w:rPr>
          <w:highlight w:val="yellow"/>
        </w:rPr>
        <w:t>195 mil millones</w:t>
      </w:r>
      <w:r>
        <w:t xml:space="preserve">, </w:t>
      </w:r>
      <w:r w:rsidRPr="002235FA">
        <w:rPr>
          <w:highlight w:val="yellow"/>
        </w:rPr>
        <w:t>$440 millones</w:t>
      </w:r>
      <w:r>
        <w:t xml:space="preserve"> para capacitaciones y por </w:t>
      </w:r>
      <w:proofErr w:type="gramStart"/>
      <w:r>
        <w:t>ultimo</w:t>
      </w:r>
      <w:proofErr w:type="gramEnd"/>
      <w:r>
        <w:t xml:space="preserve"> </w:t>
      </w:r>
      <w:r w:rsidRPr="002235FA">
        <w:rPr>
          <w:highlight w:val="yellow"/>
        </w:rPr>
        <w:t>$4,4 mil millones</w:t>
      </w:r>
      <w:r>
        <w:t xml:space="preserve"> para el seguimiento a la ejecución de los proyectos.</w:t>
      </w:r>
    </w:p>
    <w:p w:rsidRPr="002235FA" w:rsidR="002235FA" w:rsidP="00D97D31" w:rsidRDefault="002235FA" w14:paraId="129F9C41" w14:textId="26A14829">
      <w:pPr>
        <w:spacing w:after="0"/>
        <w:jc w:val="center"/>
        <w:rPr>
          <w:rFonts w:ascii="Calibri" w:hAnsi="Calibri" w:cs="Calibri"/>
          <w:b/>
        </w:rPr>
      </w:pPr>
      <w:r w:rsidRPr="002235FA">
        <w:rPr>
          <w:rFonts w:ascii="Calibri" w:hAnsi="Calibri" w:cs="Calibri"/>
          <w:b/>
        </w:rPr>
        <w:t>Tabla 12. Metas de 2026 del proyecto de inversión BPIN 2018011001045</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6A0" w:firstRow="1" w:lastRow="0" w:firstColumn="1" w:lastColumn="0" w:noHBand="1" w:noVBand="1"/>
      </w:tblPr>
      <w:tblGrid>
        <w:gridCol w:w="4531"/>
        <w:gridCol w:w="3686"/>
        <w:gridCol w:w="1173"/>
      </w:tblGrid>
      <w:tr w:rsidR="002235FA" w:rsidTr="009B3E82" w14:paraId="372CB73E" w14:textId="77777777">
        <w:trPr>
          <w:trHeight w:val="300"/>
        </w:trPr>
        <w:tc>
          <w:tcPr>
            <w:tcW w:w="4531" w:type="dxa"/>
            <w:shd w:val="clear" w:color="auto" w:fill="D9E2F3" w:themeFill="accent1" w:themeFillTint="33"/>
            <w:vAlign w:val="center"/>
          </w:tcPr>
          <w:p w:rsidRPr="002235FA" w:rsidR="002235FA" w:rsidP="00D97D31" w:rsidRDefault="002235FA" w14:paraId="103A1214" w14:textId="77777777">
            <w:pPr>
              <w:spacing w:after="0"/>
              <w:jc w:val="center"/>
              <w:rPr>
                <w:b/>
                <w:bCs/>
              </w:rPr>
            </w:pPr>
            <w:r w:rsidRPr="002235FA">
              <w:rPr>
                <w:b/>
                <w:bCs/>
              </w:rPr>
              <w:t>Proyecto de inversión</w:t>
            </w:r>
          </w:p>
        </w:tc>
        <w:tc>
          <w:tcPr>
            <w:tcW w:w="3686" w:type="dxa"/>
            <w:shd w:val="clear" w:color="auto" w:fill="D9E2F3" w:themeFill="accent1" w:themeFillTint="33"/>
            <w:vAlign w:val="center"/>
          </w:tcPr>
          <w:p w:rsidRPr="002235FA" w:rsidR="002235FA" w:rsidP="00D97D31" w:rsidRDefault="002235FA" w14:paraId="1ED4400A" w14:textId="77777777">
            <w:pPr>
              <w:spacing w:after="0"/>
              <w:jc w:val="center"/>
              <w:rPr>
                <w:b/>
                <w:bCs/>
              </w:rPr>
            </w:pPr>
            <w:r w:rsidRPr="002235FA">
              <w:rPr>
                <w:b/>
                <w:bCs/>
              </w:rPr>
              <w:t>Indicador</w:t>
            </w:r>
          </w:p>
        </w:tc>
        <w:tc>
          <w:tcPr>
            <w:tcW w:w="1173" w:type="dxa"/>
            <w:shd w:val="clear" w:color="auto" w:fill="D9E2F3" w:themeFill="accent1" w:themeFillTint="33"/>
            <w:vAlign w:val="center"/>
          </w:tcPr>
          <w:p w:rsidRPr="002235FA" w:rsidR="002235FA" w:rsidP="00D97D31" w:rsidRDefault="002235FA" w14:paraId="4FA99101" w14:textId="77777777">
            <w:pPr>
              <w:spacing w:after="0"/>
              <w:jc w:val="center"/>
              <w:rPr>
                <w:b/>
                <w:bCs/>
              </w:rPr>
            </w:pPr>
            <w:r w:rsidRPr="002235FA">
              <w:rPr>
                <w:b/>
                <w:bCs/>
              </w:rPr>
              <w:t>Meta 2026</w:t>
            </w:r>
          </w:p>
        </w:tc>
      </w:tr>
      <w:tr w:rsidR="002235FA" w:rsidTr="009B3E82" w14:paraId="3C0D2912" w14:textId="77777777">
        <w:trPr>
          <w:trHeight w:val="300"/>
        </w:trPr>
        <w:tc>
          <w:tcPr>
            <w:tcW w:w="4531" w:type="dxa"/>
            <w:vAlign w:val="center"/>
          </w:tcPr>
          <w:p w:rsidRPr="002235FA" w:rsidR="002235FA" w:rsidP="00D97D31" w:rsidRDefault="002235FA" w14:paraId="5983BFC7" w14:textId="77777777">
            <w:pPr>
              <w:spacing w:after="0"/>
            </w:pPr>
            <w:r w:rsidRPr="002235FA">
              <w:rPr>
                <w:rFonts w:ascii="Calibri" w:hAnsi="Calibri" w:eastAsia="Calibri" w:cs="Calibri"/>
              </w:rPr>
              <w:t>Mejoramiento de la calidad y confiabilidad del servicio de energía eléctrica en los barrios subnormales ubicados en los municipios del sistema interconectado a nivel nacional</w:t>
            </w:r>
          </w:p>
        </w:tc>
        <w:tc>
          <w:tcPr>
            <w:tcW w:w="3686" w:type="dxa"/>
          </w:tcPr>
          <w:p w:rsidRPr="002235FA" w:rsidR="002235FA" w:rsidP="00D97D31" w:rsidRDefault="002235FA" w14:paraId="2E6109E3" w14:textId="77777777">
            <w:pPr>
              <w:spacing w:after="0"/>
            </w:pPr>
            <w:r w:rsidRPr="002235FA">
              <w:t>Usuarios beneficiados con la normalización del servicio de energía eléctrica</w:t>
            </w:r>
          </w:p>
        </w:tc>
        <w:tc>
          <w:tcPr>
            <w:tcW w:w="1173" w:type="dxa"/>
          </w:tcPr>
          <w:p w:rsidRPr="002235FA" w:rsidR="002235FA" w:rsidP="00D97D31" w:rsidRDefault="002235FA" w14:paraId="5BC52613" w14:textId="77777777">
            <w:pPr>
              <w:spacing w:after="0"/>
              <w:jc w:val="center"/>
            </w:pPr>
            <w:r w:rsidRPr="002235FA">
              <w:t>12.937</w:t>
            </w:r>
          </w:p>
          <w:p w:rsidRPr="002235FA" w:rsidR="002235FA" w:rsidP="00D97D31" w:rsidRDefault="002235FA" w14:paraId="35529439" w14:textId="77777777">
            <w:pPr>
              <w:spacing w:after="0"/>
              <w:jc w:val="center"/>
            </w:pPr>
          </w:p>
        </w:tc>
      </w:tr>
    </w:tbl>
    <w:p w:rsidR="00804E1A" w:rsidP="00D97D31" w:rsidRDefault="002235FA" w14:paraId="16DC2F16" w14:textId="79103605">
      <w:pPr>
        <w:spacing w:after="0"/>
        <w:ind w:left="-426"/>
        <w:jc w:val="center"/>
        <w:rPr>
          <w:sz w:val="18"/>
          <w:szCs w:val="18"/>
        </w:rPr>
      </w:pPr>
      <w:r w:rsidRPr="002235FA">
        <w:rPr>
          <w:b/>
          <w:i/>
          <w:sz w:val="18"/>
          <w:szCs w:val="18"/>
        </w:rPr>
        <w:t xml:space="preserve">Fuente: </w:t>
      </w:r>
      <w:r w:rsidRPr="002235FA">
        <w:rPr>
          <w:sz w:val="18"/>
          <w:szCs w:val="18"/>
        </w:rPr>
        <w:t xml:space="preserve">PIIP – Meta de los proyectos de inversión </w:t>
      </w:r>
      <w:proofErr w:type="spellStart"/>
      <w:r w:rsidRPr="002235FA">
        <w:rPr>
          <w:sz w:val="18"/>
          <w:szCs w:val="18"/>
        </w:rPr>
        <w:t>contracreditos</w:t>
      </w:r>
      <w:proofErr w:type="spellEnd"/>
    </w:p>
    <w:p w:rsidR="000441A7" w:rsidP="00D97D31" w:rsidRDefault="00D214E8" w14:paraId="406A441C" w14:textId="77777777">
      <w:pPr>
        <w:spacing w:beforeAutospacing="1" w:afterAutospacing="1"/>
        <w:jc w:val="both"/>
      </w:pPr>
      <w:r>
        <w:t xml:space="preserve">Conforme a la </w:t>
      </w:r>
      <w:r w:rsidRPr="0F263A78">
        <w:rPr>
          <w:b/>
          <w:bCs/>
        </w:rPr>
        <w:t xml:space="preserve">Tabla </w:t>
      </w:r>
      <w:r w:rsidR="002235FA">
        <w:rPr>
          <w:b/>
          <w:bCs/>
        </w:rPr>
        <w:t>12</w:t>
      </w:r>
      <w:r w:rsidRPr="0F263A78">
        <w:rPr>
          <w:b/>
          <w:bCs/>
        </w:rPr>
        <w:t xml:space="preserve">, </w:t>
      </w:r>
      <w:r>
        <w:t xml:space="preserve">la meta correspondiente al proyecto de inversión BPIN </w:t>
      </w:r>
      <w:r w:rsidRPr="001B0DD3">
        <w:t>2018011001045</w:t>
      </w:r>
      <w:r>
        <w:t xml:space="preserve"> es de 12.937 usuarios beneficiados con la normalización de redes eléctricas. Sin embargo, conforme a los 30 contratos suscritos por el Ministerio de Minas y Energía y financiados a través del PRONE que actualmente se encuentran vigentes, se logrará beneficiar para la vigencia 2026 un total de 10.990 usuarios en 6 departamentos del territorio nacional por un rubro de </w:t>
      </w:r>
      <w:r w:rsidRPr="00176F9A">
        <w:t xml:space="preserve"> </w:t>
      </w:r>
      <w:r w:rsidRPr="00547803">
        <w:t xml:space="preserve"> $96.301.510.773</w:t>
      </w:r>
      <w:r>
        <w:t>. Con esto, se tiene un regazo de 1.947 usuarios para poder dar cumplimiento al total de la meta asignada para este proyecto de inversión.</w:t>
      </w:r>
    </w:p>
    <w:p w:rsidR="000441A7" w:rsidP="00D97D31" w:rsidRDefault="000441A7" w14:paraId="47C3B9B7" w14:textId="2CD39912">
      <w:pPr>
        <w:spacing w:beforeAutospacing="1" w:afterAutospacing="1"/>
        <w:jc w:val="both"/>
      </w:pPr>
      <w:r w:rsidRPr="00972D7E">
        <w:rPr>
          <w:highlight w:val="yellow"/>
        </w:rPr>
        <w:t>Est</w:t>
      </w:r>
      <w:r>
        <w:rPr>
          <w:highlight w:val="yellow"/>
        </w:rPr>
        <w:t>os</w:t>
      </w:r>
      <w:r w:rsidRPr="00972D7E">
        <w:rPr>
          <w:highlight w:val="yellow"/>
        </w:rPr>
        <w:t xml:space="preserve"> </w:t>
      </w:r>
      <w:r>
        <w:rPr>
          <w:highlight w:val="yellow"/>
        </w:rPr>
        <w:t>son</w:t>
      </w:r>
      <w:r w:rsidRPr="00972D7E">
        <w:rPr>
          <w:highlight w:val="yellow"/>
        </w:rPr>
        <w:t xml:space="preserve"> comprom</w:t>
      </w:r>
      <w:r>
        <w:rPr>
          <w:highlight w:val="yellow"/>
        </w:rPr>
        <w:t>isos</w:t>
      </w:r>
      <w:r w:rsidRPr="00972D7E">
        <w:rPr>
          <w:highlight w:val="yellow"/>
        </w:rPr>
        <w:t xml:space="preserve"> del rubro presupuestal disponible de 2026</w:t>
      </w:r>
      <w:r w:rsidRPr="00480BA8">
        <w:rPr>
          <w:highlight w:val="yellow"/>
        </w:rPr>
        <w:t xml:space="preserve">, </w:t>
      </w:r>
      <w:r w:rsidR="002367B3">
        <w:rPr>
          <w:highlight w:val="yellow"/>
        </w:rPr>
        <w:t xml:space="preserve">los </w:t>
      </w:r>
      <w:r w:rsidRPr="00E82D19" w:rsidR="00E82D19">
        <w:t xml:space="preserve"> </w:t>
      </w:r>
      <w:r w:rsidRPr="00E82D19" w:rsidR="00E82D19">
        <w:rPr>
          <w:highlight w:val="yellow"/>
        </w:rPr>
        <w:t>$ 96,301,510,773.00</w:t>
      </w:r>
      <w:r w:rsidRPr="00E82D19" w:rsidR="00E82D19">
        <w:t xml:space="preserve"> </w:t>
      </w:r>
      <w:r w:rsidR="00B93444">
        <w:t xml:space="preserve">corresponden a </w:t>
      </w:r>
      <w:r w:rsidRPr="00480BA8">
        <w:rPr>
          <w:highlight w:val="yellow"/>
        </w:rPr>
        <w:t>la actividad 1.1.</w:t>
      </w:r>
      <w:r w:rsidR="00B93444">
        <w:rPr>
          <w:highlight w:val="yellow"/>
        </w:rPr>
        <w:t>1</w:t>
      </w:r>
      <w:r w:rsidRPr="00972D7E">
        <w:rPr>
          <w:highlight w:val="yellow"/>
        </w:rPr>
        <w:t>.</w:t>
      </w:r>
      <w:r>
        <w:t xml:space="preserve"> A su vez, de la actividad 1.1.</w:t>
      </w:r>
      <w:r w:rsidR="00460F31">
        <w:t>3</w:t>
      </w:r>
      <w:r>
        <w:t xml:space="preserve">  se </w:t>
      </w:r>
      <w:r w:rsidRPr="00685EEC">
        <w:rPr>
          <w:highlight w:val="yellow"/>
        </w:rPr>
        <w:t>comprometió XXXX</w:t>
      </w:r>
      <w:r>
        <w:t xml:space="preserve"> para la prestación de servicios de los profesionales que realizan las gestiones ad</w:t>
      </w:r>
      <w:r w:rsidR="00460F31">
        <w:t>m</w:t>
      </w:r>
      <w:r>
        <w:t xml:space="preserve">inistrativas y de supervisión de los fondos de inversión. Finalmente, del presupuesto de la vigencia en mención se comprometió en la actividad </w:t>
      </w:r>
      <w:r w:rsidRPr="00BF0404">
        <w:rPr>
          <w:highlight w:val="yellow"/>
        </w:rPr>
        <w:t xml:space="preserve">XXXX por un valor de XXX el pago de las vigencias expiradas aprobadas mediante el Comité de Administración del </w:t>
      </w:r>
      <w:r w:rsidR="00584BC3">
        <w:rPr>
          <w:highlight w:val="yellow"/>
        </w:rPr>
        <w:t>PRONE</w:t>
      </w:r>
      <w:r w:rsidRPr="00BF0404">
        <w:rPr>
          <w:highlight w:val="yellow"/>
        </w:rPr>
        <w:t xml:space="preserve"> (CA</w:t>
      </w:r>
      <w:r w:rsidR="00584BC3">
        <w:rPr>
          <w:highlight w:val="yellow"/>
        </w:rPr>
        <w:t>PRONE</w:t>
      </w:r>
      <w:r w:rsidRPr="00BF0404">
        <w:rPr>
          <w:highlight w:val="yellow"/>
        </w:rPr>
        <w:t>) XXX.</w:t>
      </w:r>
      <w:r>
        <w:t xml:space="preserve"> Por ende, los compromisos para la vigencia 2026 suman un total de </w:t>
      </w:r>
      <w:r w:rsidRPr="00D027C6" w:rsidR="00D027C6">
        <w:rPr>
          <w:highlight w:val="yellow"/>
        </w:rPr>
        <w:t>$ 115.733.810.298</w:t>
      </w:r>
      <w:r w:rsidR="00584BC3">
        <w:rPr>
          <w:highlight w:val="yellow"/>
        </w:rPr>
        <w:t xml:space="preserve"> </w:t>
      </w:r>
      <w:r w:rsidRPr="00D027C6">
        <w:rPr>
          <w:highlight w:val="yellow"/>
        </w:rPr>
        <w:t xml:space="preserve">y </w:t>
      </w:r>
      <w:r w:rsidRPr="00B9220C">
        <w:rPr>
          <w:highlight w:val="yellow"/>
        </w:rPr>
        <w:t>teniendo en cuenta que la apropiación vigente es de $</w:t>
      </w:r>
      <w:r w:rsidR="00D825A2">
        <w:rPr>
          <w:highlight w:val="yellow"/>
        </w:rPr>
        <w:t>14</w:t>
      </w:r>
      <w:r w:rsidRPr="00B9220C">
        <w:rPr>
          <w:highlight w:val="yellow"/>
        </w:rPr>
        <w:t>0.000.000.000 hay disponible un valor d</w:t>
      </w:r>
      <w:r w:rsidRPr="00D43FD5">
        <w:rPr>
          <w:highlight w:val="yellow"/>
        </w:rPr>
        <w:t xml:space="preserve">e </w:t>
      </w:r>
      <w:r w:rsidRPr="00D43FD5" w:rsidR="00D825A2">
        <w:rPr>
          <w:highlight w:val="yellow"/>
        </w:rPr>
        <w:t>$ 24.266.189.702</w:t>
      </w:r>
      <w:r w:rsidRPr="00D43FD5">
        <w:rPr>
          <w:highlight w:val="yellow"/>
        </w:rPr>
        <w:t>.</w:t>
      </w:r>
    </w:p>
    <w:p w:rsidR="00D214E8" w:rsidP="00D97D31" w:rsidRDefault="00D214E8" w14:paraId="2C4B058C" w14:textId="76365F56">
      <w:pPr>
        <w:spacing w:beforeAutospacing="1" w:afterAutospacing="1"/>
        <w:jc w:val="both"/>
      </w:pPr>
      <w:r>
        <w:t xml:space="preserve">En la </w:t>
      </w:r>
      <w:r w:rsidRPr="0F263A78">
        <w:rPr>
          <w:b/>
          <w:bCs/>
        </w:rPr>
        <w:t xml:space="preserve">Tabla </w:t>
      </w:r>
      <w:r>
        <w:rPr>
          <w:b/>
          <w:bCs/>
        </w:rPr>
        <w:t>1</w:t>
      </w:r>
      <w:r w:rsidR="00495F33">
        <w:rPr>
          <w:b/>
          <w:bCs/>
        </w:rPr>
        <w:t>3</w:t>
      </w:r>
      <w:r>
        <w:t xml:space="preserve"> se puede observar el detalle de los usuarios beneficiados. </w:t>
      </w:r>
    </w:p>
    <w:p w:rsidRPr="00D23091" w:rsidR="00D214E8" w:rsidP="00D97D31" w:rsidRDefault="00D214E8" w14:paraId="5520A15A" w14:textId="2E59B441">
      <w:pPr>
        <w:spacing w:after="0"/>
        <w:jc w:val="center"/>
        <w:rPr>
          <w:rFonts w:ascii="Calibri" w:hAnsi="Calibri" w:cs="Calibri"/>
          <w:b/>
          <w:bCs/>
        </w:rPr>
      </w:pPr>
      <w:r w:rsidRPr="00D23091">
        <w:rPr>
          <w:rFonts w:ascii="Calibri" w:hAnsi="Calibri" w:cs="Calibri"/>
          <w:b/>
          <w:bCs/>
        </w:rPr>
        <w:t xml:space="preserve">Tabla </w:t>
      </w:r>
      <w:r>
        <w:rPr>
          <w:rFonts w:ascii="Calibri" w:hAnsi="Calibri" w:cs="Calibri"/>
          <w:b/>
          <w:bCs/>
        </w:rPr>
        <w:t>1</w:t>
      </w:r>
      <w:r w:rsidR="00495F33">
        <w:rPr>
          <w:rFonts w:ascii="Calibri" w:hAnsi="Calibri" w:cs="Calibri"/>
          <w:b/>
          <w:bCs/>
        </w:rPr>
        <w:t>3</w:t>
      </w:r>
      <w:r w:rsidRPr="00D23091">
        <w:rPr>
          <w:rFonts w:ascii="Calibri" w:hAnsi="Calibri" w:cs="Calibri"/>
          <w:b/>
          <w:bCs/>
        </w:rPr>
        <w:t xml:space="preserve">. Usuarios beneficiados bajo la financiación del </w:t>
      </w:r>
      <w:r>
        <w:rPr>
          <w:rFonts w:ascii="Calibri" w:hAnsi="Calibri" w:cs="Calibri"/>
          <w:b/>
          <w:bCs/>
        </w:rPr>
        <w:t>PRONE</w:t>
      </w:r>
    </w:p>
    <w:tbl>
      <w:tblPr>
        <w:tblW w:w="33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70" w:type="dxa"/>
          <w:right w:w="70" w:type="dxa"/>
        </w:tblCellMar>
        <w:tblLook w:val="04A0" w:firstRow="1" w:lastRow="0" w:firstColumn="1" w:lastColumn="0" w:noHBand="0" w:noVBand="1"/>
      </w:tblPr>
      <w:tblGrid>
        <w:gridCol w:w="1702"/>
        <w:gridCol w:w="2081"/>
        <w:gridCol w:w="2599"/>
      </w:tblGrid>
      <w:tr w:rsidRPr="00DD47A3" w:rsidR="00D214E8" w:rsidTr="009B3E82" w14:paraId="1A15CF6F" w14:textId="77777777">
        <w:trPr>
          <w:trHeight w:val="288"/>
          <w:jc w:val="center"/>
        </w:trPr>
        <w:tc>
          <w:tcPr>
            <w:tcW w:w="1334" w:type="pct"/>
            <w:shd w:val="clear" w:color="auto" w:fill="D9E2F3" w:themeFill="accent1" w:themeFillTint="33"/>
            <w:noWrap/>
            <w:vAlign w:val="center"/>
          </w:tcPr>
          <w:p w:rsidRPr="00DD47A3" w:rsidR="00D214E8" w:rsidP="00D97D31" w:rsidRDefault="00D214E8" w14:paraId="5FDADD33" w14:textId="77777777">
            <w:pPr>
              <w:suppressAutoHyphens w:val="0"/>
              <w:spacing w:after="0"/>
              <w:ind w:firstLine="180" w:firstLineChars="100"/>
              <w:jc w:val="center"/>
              <w:rPr>
                <w:rFonts w:ascii="Calibri" w:hAnsi="Calibri" w:eastAsia="Times New Roman" w:cs="Calibri"/>
                <w:b/>
                <w:bCs/>
                <w:color w:val="000000"/>
                <w:sz w:val="18"/>
                <w:szCs w:val="18"/>
                <w:lang w:eastAsia="es-CO"/>
              </w:rPr>
            </w:pPr>
            <w:r w:rsidRPr="00DD47A3">
              <w:rPr>
                <w:rFonts w:ascii="Calibri" w:hAnsi="Calibri" w:eastAsia="Times New Roman" w:cs="Calibri"/>
                <w:b/>
                <w:bCs/>
                <w:color w:val="000000"/>
                <w:sz w:val="18"/>
                <w:szCs w:val="18"/>
                <w:lang w:eastAsia="es-CO"/>
              </w:rPr>
              <w:t>Departamento</w:t>
            </w:r>
          </w:p>
        </w:tc>
        <w:tc>
          <w:tcPr>
            <w:tcW w:w="1630" w:type="pct"/>
            <w:shd w:val="clear" w:color="auto" w:fill="D9E2F3" w:themeFill="accent1" w:themeFillTint="33"/>
            <w:noWrap/>
            <w:vAlign w:val="center"/>
          </w:tcPr>
          <w:p w:rsidRPr="00DD47A3" w:rsidR="00D214E8" w:rsidP="00D97D31" w:rsidRDefault="00D214E8" w14:paraId="6A64CFC2" w14:textId="77777777">
            <w:pPr>
              <w:suppressAutoHyphens w:val="0"/>
              <w:spacing w:after="0"/>
              <w:jc w:val="center"/>
              <w:rPr>
                <w:rFonts w:ascii="Calibri" w:hAnsi="Calibri" w:eastAsia="Times New Roman" w:cs="Calibri"/>
                <w:b/>
                <w:bCs/>
                <w:color w:val="000000"/>
                <w:sz w:val="18"/>
                <w:szCs w:val="18"/>
                <w:lang w:eastAsia="es-CO"/>
              </w:rPr>
            </w:pPr>
            <w:r w:rsidRPr="00DD47A3">
              <w:rPr>
                <w:rFonts w:ascii="Calibri" w:hAnsi="Calibri" w:eastAsia="Times New Roman" w:cs="Calibri"/>
                <w:b/>
                <w:bCs/>
                <w:color w:val="000000"/>
                <w:sz w:val="18"/>
                <w:szCs w:val="18"/>
                <w:lang w:eastAsia="es-CO"/>
              </w:rPr>
              <w:t>Usuarios Totales</w:t>
            </w:r>
          </w:p>
        </w:tc>
        <w:tc>
          <w:tcPr>
            <w:tcW w:w="2036" w:type="pct"/>
            <w:shd w:val="clear" w:color="auto" w:fill="D9E2F3" w:themeFill="accent1" w:themeFillTint="33"/>
            <w:noWrap/>
            <w:vAlign w:val="center"/>
          </w:tcPr>
          <w:p w:rsidRPr="00DD47A3" w:rsidR="00D214E8" w:rsidP="00D97D31" w:rsidRDefault="00D214E8" w14:paraId="38832456" w14:textId="77777777">
            <w:pPr>
              <w:suppressAutoHyphens w:val="0"/>
              <w:spacing w:after="0"/>
              <w:jc w:val="center"/>
              <w:rPr>
                <w:rFonts w:ascii="Calibri" w:hAnsi="Calibri" w:eastAsia="Times New Roman" w:cs="Calibri"/>
                <w:b/>
                <w:bCs/>
                <w:color w:val="000000"/>
                <w:sz w:val="18"/>
                <w:szCs w:val="18"/>
                <w:lang w:eastAsia="es-CO"/>
              </w:rPr>
            </w:pPr>
            <w:r w:rsidRPr="00DD47A3">
              <w:rPr>
                <w:rFonts w:ascii="Calibri" w:hAnsi="Calibri" w:eastAsia="Times New Roman" w:cs="Calibri"/>
                <w:b/>
                <w:bCs/>
                <w:color w:val="000000"/>
                <w:sz w:val="18"/>
                <w:szCs w:val="18"/>
                <w:lang w:eastAsia="es-CO"/>
              </w:rPr>
              <w:t>Presupuesto Vigencia 2026</w:t>
            </w:r>
          </w:p>
        </w:tc>
      </w:tr>
      <w:tr w:rsidRPr="00DD47A3" w:rsidR="00D214E8" w:rsidTr="009B3E82" w14:paraId="4690F1B9" w14:textId="77777777">
        <w:trPr>
          <w:trHeight w:val="288"/>
          <w:jc w:val="center"/>
        </w:trPr>
        <w:tc>
          <w:tcPr>
            <w:tcW w:w="1334" w:type="pct"/>
            <w:noWrap/>
            <w:hideMark/>
          </w:tcPr>
          <w:p w:rsidRPr="00DD47A3" w:rsidR="00D214E8" w:rsidP="00D97D31" w:rsidRDefault="00D214E8" w14:paraId="51C3A725" w14:textId="77777777">
            <w:pPr>
              <w:suppressAutoHyphens w:val="0"/>
              <w:spacing w:after="0"/>
              <w:ind w:firstLine="180" w:firstLineChars="100"/>
              <w:jc w:val="center"/>
              <w:rPr>
                <w:rFonts w:ascii="Calibri" w:hAnsi="Calibri" w:eastAsia="Times New Roman" w:cs="Calibri"/>
                <w:color w:val="000000"/>
                <w:sz w:val="18"/>
                <w:szCs w:val="18"/>
                <w:lang w:eastAsia="es-CO"/>
              </w:rPr>
            </w:pPr>
            <w:r w:rsidRPr="00DD47A3">
              <w:rPr>
                <w:sz w:val="18"/>
                <w:szCs w:val="18"/>
              </w:rPr>
              <w:t>Huila</w:t>
            </w:r>
          </w:p>
        </w:tc>
        <w:tc>
          <w:tcPr>
            <w:tcW w:w="1630" w:type="pct"/>
            <w:noWrap/>
            <w:hideMark/>
          </w:tcPr>
          <w:p w:rsidRPr="00DD47A3" w:rsidR="00D214E8" w:rsidP="00D97D31" w:rsidRDefault="00D214E8" w14:paraId="59F01DC4" w14:textId="77777777">
            <w:pPr>
              <w:suppressAutoHyphens w:val="0"/>
              <w:spacing w:after="0"/>
              <w:jc w:val="center"/>
              <w:rPr>
                <w:rFonts w:ascii="Calibri" w:hAnsi="Calibri" w:eastAsia="Times New Roman" w:cs="Calibri"/>
                <w:color w:val="000000"/>
                <w:sz w:val="18"/>
                <w:szCs w:val="18"/>
                <w:lang w:eastAsia="es-CO"/>
              </w:rPr>
            </w:pPr>
            <w:r w:rsidRPr="00DD47A3">
              <w:rPr>
                <w:sz w:val="18"/>
                <w:szCs w:val="18"/>
              </w:rPr>
              <w:t>344</w:t>
            </w:r>
          </w:p>
        </w:tc>
        <w:tc>
          <w:tcPr>
            <w:tcW w:w="2036" w:type="pct"/>
            <w:noWrap/>
            <w:hideMark/>
          </w:tcPr>
          <w:p w:rsidRPr="00DD47A3" w:rsidR="00D214E8" w:rsidP="00D97D31" w:rsidRDefault="00D214E8" w14:paraId="6BB2D48C" w14:textId="77777777">
            <w:pPr>
              <w:suppressAutoHyphens w:val="0"/>
              <w:spacing w:after="0"/>
              <w:jc w:val="center"/>
              <w:rPr>
                <w:rFonts w:ascii="Calibri" w:hAnsi="Calibri" w:eastAsia="Times New Roman" w:cs="Calibri"/>
                <w:color w:val="000000"/>
                <w:sz w:val="18"/>
                <w:szCs w:val="18"/>
                <w:lang w:eastAsia="es-CO"/>
              </w:rPr>
            </w:pPr>
            <w:r w:rsidRPr="00DD47A3">
              <w:rPr>
                <w:sz w:val="18"/>
                <w:szCs w:val="18"/>
              </w:rPr>
              <w:t xml:space="preserve"> $4.358.783.953,00 </w:t>
            </w:r>
          </w:p>
        </w:tc>
      </w:tr>
      <w:tr w:rsidRPr="00DD47A3" w:rsidR="00D214E8" w:rsidTr="009B3E82" w14:paraId="64CA8B48" w14:textId="77777777">
        <w:trPr>
          <w:trHeight w:val="288"/>
          <w:jc w:val="center"/>
        </w:trPr>
        <w:tc>
          <w:tcPr>
            <w:tcW w:w="1334" w:type="pct"/>
            <w:noWrap/>
            <w:hideMark/>
          </w:tcPr>
          <w:p w:rsidRPr="00DD47A3" w:rsidR="00D214E8" w:rsidP="00D97D31" w:rsidRDefault="00D214E8" w14:paraId="41963194" w14:textId="77777777">
            <w:pPr>
              <w:suppressAutoHyphens w:val="0"/>
              <w:spacing w:after="0"/>
              <w:ind w:firstLine="180" w:firstLineChars="100"/>
              <w:jc w:val="center"/>
              <w:rPr>
                <w:rFonts w:ascii="Calibri" w:hAnsi="Calibri" w:eastAsia="Times New Roman" w:cs="Calibri"/>
                <w:color w:val="000000"/>
                <w:sz w:val="18"/>
                <w:szCs w:val="18"/>
                <w:lang w:eastAsia="es-CO"/>
              </w:rPr>
            </w:pPr>
            <w:r w:rsidRPr="00DD47A3">
              <w:rPr>
                <w:sz w:val="18"/>
                <w:szCs w:val="18"/>
              </w:rPr>
              <w:t>Meta</w:t>
            </w:r>
          </w:p>
        </w:tc>
        <w:tc>
          <w:tcPr>
            <w:tcW w:w="1630" w:type="pct"/>
            <w:noWrap/>
            <w:hideMark/>
          </w:tcPr>
          <w:p w:rsidRPr="00DD47A3" w:rsidR="00D214E8" w:rsidP="00D97D31" w:rsidRDefault="00D214E8" w14:paraId="39F8DFC5" w14:textId="77777777">
            <w:pPr>
              <w:suppressAutoHyphens w:val="0"/>
              <w:spacing w:after="0"/>
              <w:jc w:val="center"/>
              <w:rPr>
                <w:rFonts w:ascii="Calibri" w:hAnsi="Calibri" w:eastAsia="Times New Roman" w:cs="Calibri"/>
                <w:color w:val="000000"/>
                <w:sz w:val="18"/>
                <w:szCs w:val="18"/>
                <w:lang w:eastAsia="es-CO"/>
              </w:rPr>
            </w:pPr>
            <w:r w:rsidRPr="00DD47A3">
              <w:rPr>
                <w:sz w:val="18"/>
                <w:szCs w:val="18"/>
              </w:rPr>
              <w:t>2.006</w:t>
            </w:r>
          </w:p>
        </w:tc>
        <w:tc>
          <w:tcPr>
            <w:tcW w:w="2036" w:type="pct"/>
            <w:noWrap/>
            <w:hideMark/>
          </w:tcPr>
          <w:p w:rsidRPr="00DD47A3" w:rsidR="00D214E8" w:rsidP="00D97D31" w:rsidRDefault="00D214E8" w14:paraId="1BAD5CB7" w14:textId="77777777">
            <w:pPr>
              <w:suppressAutoHyphens w:val="0"/>
              <w:spacing w:after="0"/>
              <w:jc w:val="center"/>
              <w:rPr>
                <w:rFonts w:ascii="Calibri" w:hAnsi="Calibri" w:eastAsia="Times New Roman" w:cs="Calibri"/>
                <w:color w:val="000000"/>
                <w:sz w:val="18"/>
                <w:szCs w:val="18"/>
                <w:lang w:eastAsia="es-CO"/>
              </w:rPr>
            </w:pPr>
            <w:r w:rsidRPr="00DD47A3">
              <w:rPr>
                <w:sz w:val="18"/>
                <w:szCs w:val="18"/>
              </w:rPr>
              <w:t xml:space="preserve"> $18.433.955.339,00 </w:t>
            </w:r>
          </w:p>
        </w:tc>
      </w:tr>
      <w:tr w:rsidRPr="00DD47A3" w:rsidR="00D214E8" w:rsidTr="009B3E82" w14:paraId="1D789266" w14:textId="77777777">
        <w:trPr>
          <w:trHeight w:val="288"/>
          <w:jc w:val="center"/>
        </w:trPr>
        <w:tc>
          <w:tcPr>
            <w:tcW w:w="1334" w:type="pct"/>
            <w:noWrap/>
            <w:hideMark/>
          </w:tcPr>
          <w:p w:rsidRPr="00DD47A3" w:rsidR="00D214E8" w:rsidP="00D97D31" w:rsidRDefault="00D214E8" w14:paraId="494E28D7" w14:textId="77777777">
            <w:pPr>
              <w:suppressAutoHyphens w:val="0"/>
              <w:spacing w:after="0"/>
              <w:ind w:firstLine="180" w:firstLineChars="100"/>
              <w:jc w:val="center"/>
              <w:rPr>
                <w:rFonts w:ascii="Calibri" w:hAnsi="Calibri" w:eastAsia="Times New Roman" w:cs="Calibri"/>
                <w:color w:val="000000"/>
                <w:sz w:val="18"/>
                <w:szCs w:val="18"/>
                <w:lang w:eastAsia="es-CO"/>
              </w:rPr>
            </w:pPr>
            <w:r w:rsidRPr="00DD47A3">
              <w:rPr>
                <w:sz w:val="18"/>
                <w:szCs w:val="18"/>
              </w:rPr>
              <w:t>Nariño</w:t>
            </w:r>
          </w:p>
        </w:tc>
        <w:tc>
          <w:tcPr>
            <w:tcW w:w="1630" w:type="pct"/>
            <w:noWrap/>
            <w:hideMark/>
          </w:tcPr>
          <w:p w:rsidRPr="00DD47A3" w:rsidR="00D214E8" w:rsidP="00D97D31" w:rsidRDefault="00D214E8" w14:paraId="56819838" w14:textId="77777777">
            <w:pPr>
              <w:suppressAutoHyphens w:val="0"/>
              <w:spacing w:after="0"/>
              <w:jc w:val="center"/>
              <w:rPr>
                <w:rFonts w:ascii="Calibri" w:hAnsi="Calibri" w:eastAsia="Times New Roman" w:cs="Calibri"/>
                <w:color w:val="000000"/>
                <w:sz w:val="18"/>
                <w:szCs w:val="18"/>
                <w:lang w:eastAsia="es-CO"/>
              </w:rPr>
            </w:pPr>
            <w:r w:rsidRPr="00DD47A3">
              <w:rPr>
                <w:sz w:val="18"/>
                <w:szCs w:val="18"/>
              </w:rPr>
              <w:t>3.333</w:t>
            </w:r>
          </w:p>
        </w:tc>
        <w:tc>
          <w:tcPr>
            <w:tcW w:w="2036" w:type="pct"/>
            <w:noWrap/>
            <w:hideMark/>
          </w:tcPr>
          <w:p w:rsidRPr="00DD47A3" w:rsidR="00D214E8" w:rsidP="00D97D31" w:rsidRDefault="00D214E8" w14:paraId="44B98D8F" w14:textId="77777777">
            <w:pPr>
              <w:suppressAutoHyphens w:val="0"/>
              <w:spacing w:after="0"/>
              <w:jc w:val="center"/>
              <w:rPr>
                <w:rFonts w:ascii="Calibri" w:hAnsi="Calibri" w:eastAsia="Times New Roman" w:cs="Calibri"/>
                <w:color w:val="000000"/>
                <w:sz w:val="18"/>
                <w:szCs w:val="18"/>
                <w:lang w:eastAsia="es-CO"/>
              </w:rPr>
            </w:pPr>
            <w:r w:rsidRPr="00DD47A3">
              <w:rPr>
                <w:sz w:val="18"/>
                <w:szCs w:val="18"/>
              </w:rPr>
              <w:t xml:space="preserve"> $22.422.216.047,00 </w:t>
            </w:r>
          </w:p>
        </w:tc>
      </w:tr>
      <w:tr w:rsidRPr="00DD47A3" w:rsidR="00D214E8" w:rsidTr="009B3E82" w14:paraId="2F6C6D54" w14:textId="77777777">
        <w:trPr>
          <w:trHeight w:val="420"/>
          <w:jc w:val="center"/>
        </w:trPr>
        <w:tc>
          <w:tcPr>
            <w:tcW w:w="1334" w:type="pct"/>
            <w:noWrap/>
            <w:hideMark/>
          </w:tcPr>
          <w:p w:rsidRPr="00DD47A3" w:rsidR="00D214E8" w:rsidP="00D97D31" w:rsidRDefault="00D214E8" w14:paraId="359518AA" w14:textId="77777777">
            <w:pPr>
              <w:suppressAutoHyphens w:val="0"/>
              <w:spacing w:after="0"/>
              <w:ind w:firstLine="180" w:firstLineChars="100"/>
              <w:jc w:val="center"/>
              <w:rPr>
                <w:rFonts w:ascii="Calibri" w:hAnsi="Calibri" w:eastAsia="Times New Roman" w:cs="Calibri"/>
                <w:color w:val="000000"/>
                <w:sz w:val="18"/>
                <w:szCs w:val="18"/>
                <w:lang w:eastAsia="es-CO"/>
              </w:rPr>
            </w:pPr>
            <w:r w:rsidRPr="00DD47A3">
              <w:rPr>
                <w:sz w:val="18"/>
                <w:szCs w:val="18"/>
              </w:rPr>
              <w:t>Atlántico</w:t>
            </w:r>
          </w:p>
        </w:tc>
        <w:tc>
          <w:tcPr>
            <w:tcW w:w="1630" w:type="pct"/>
            <w:noWrap/>
            <w:hideMark/>
          </w:tcPr>
          <w:p w:rsidRPr="00DD47A3" w:rsidR="00D214E8" w:rsidP="00D97D31" w:rsidRDefault="00D214E8" w14:paraId="33E001C8" w14:textId="77777777">
            <w:pPr>
              <w:suppressAutoHyphens w:val="0"/>
              <w:spacing w:after="0"/>
              <w:jc w:val="center"/>
              <w:rPr>
                <w:rFonts w:ascii="Calibri" w:hAnsi="Calibri" w:eastAsia="Times New Roman" w:cs="Calibri"/>
                <w:color w:val="000000"/>
                <w:sz w:val="18"/>
                <w:szCs w:val="18"/>
                <w:lang w:eastAsia="es-CO"/>
              </w:rPr>
            </w:pPr>
            <w:r w:rsidRPr="00DD47A3">
              <w:rPr>
                <w:sz w:val="18"/>
                <w:szCs w:val="18"/>
              </w:rPr>
              <w:t>1.460</w:t>
            </w:r>
          </w:p>
        </w:tc>
        <w:tc>
          <w:tcPr>
            <w:tcW w:w="2036" w:type="pct"/>
            <w:noWrap/>
            <w:hideMark/>
          </w:tcPr>
          <w:p w:rsidRPr="00DD47A3" w:rsidR="00D214E8" w:rsidP="00D97D31" w:rsidRDefault="00D214E8" w14:paraId="33B12F32" w14:textId="77777777">
            <w:pPr>
              <w:suppressAutoHyphens w:val="0"/>
              <w:spacing w:after="0"/>
              <w:jc w:val="center"/>
              <w:rPr>
                <w:rFonts w:ascii="Calibri" w:hAnsi="Calibri" w:eastAsia="Times New Roman" w:cs="Calibri"/>
                <w:color w:val="000000"/>
                <w:sz w:val="18"/>
                <w:szCs w:val="18"/>
                <w:lang w:eastAsia="es-CO"/>
              </w:rPr>
            </w:pPr>
            <w:r w:rsidRPr="00DD47A3">
              <w:rPr>
                <w:sz w:val="18"/>
                <w:szCs w:val="18"/>
              </w:rPr>
              <w:t xml:space="preserve"> $13.762.089.403,00 </w:t>
            </w:r>
          </w:p>
        </w:tc>
      </w:tr>
      <w:tr w:rsidRPr="00DD47A3" w:rsidR="00D214E8" w:rsidTr="009B3E82" w14:paraId="3CFF25F4" w14:textId="77777777">
        <w:trPr>
          <w:trHeight w:val="288"/>
          <w:jc w:val="center"/>
        </w:trPr>
        <w:tc>
          <w:tcPr>
            <w:tcW w:w="1334" w:type="pct"/>
            <w:noWrap/>
            <w:hideMark/>
          </w:tcPr>
          <w:p w:rsidRPr="00DD47A3" w:rsidR="00D214E8" w:rsidP="00D97D31" w:rsidRDefault="00D214E8" w14:paraId="6DAAF306" w14:textId="77777777">
            <w:pPr>
              <w:suppressAutoHyphens w:val="0"/>
              <w:spacing w:after="0"/>
              <w:ind w:firstLine="180" w:firstLineChars="100"/>
              <w:jc w:val="center"/>
              <w:rPr>
                <w:rFonts w:ascii="Calibri" w:hAnsi="Calibri" w:eastAsia="Times New Roman" w:cs="Calibri"/>
                <w:color w:val="000000"/>
                <w:sz w:val="18"/>
                <w:szCs w:val="18"/>
                <w:lang w:eastAsia="es-CO"/>
              </w:rPr>
            </w:pPr>
            <w:r w:rsidRPr="00DD47A3">
              <w:rPr>
                <w:sz w:val="18"/>
                <w:szCs w:val="18"/>
              </w:rPr>
              <w:t>La guajira</w:t>
            </w:r>
          </w:p>
        </w:tc>
        <w:tc>
          <w:tcPr>
            <w:tcW w:w="1630" w:type="pct"/>
            <w:noWrap/>
            <w:hideMark/>
          </w:tcPr>
          <w:p w:rsidRPr="00DD47A3" w:rsidR="00D214E8" w:rsidP="00D97D31" w:rsidRDefault="00D214E8" w14:paraId="523A2045" w14:textId="77777777">
            <w:pPr>
              <w:suppressAutoHyphens w:val="0"/>
              <w:spacing w:after="0"/>
              <w:jc w:val="center"/>
              <w:rPr>
                <w:rFonts w:ascii="Calibri" w:hAnsi="Calibri" w:eastAsia="Times New Roman" w:cs="Calibri"/>
                <w:color w:val="000000"/>
                <w:sz w:val="18"/>
                <w:szCs w:val="18"/>
                <w:lang w:eastAsia="es-CO"/>
              </w:rPr>
            </w:pPr>
            <w:r w:rsidRPr="00DD47A3">
              <w:rPr>
                <w:sz w:val="18"/>
                <w:szCs w:val="18"/>
              </w:rPr>
              <w:t>2.963</w:t>
            </w:r>
          </w:p>
        </w:tc>
        <w:tc>
          <w:tcPr>
            <w:tcW w:w="2036" w:type="pct"/>
            <w:noWrap/>
            <w:hideMark/>
          </w:tcPr>
          <w:p w:rsidRPr="00DD47A3" w:rsidR="00D214E8" w:rsidP="00D97D31" w:rsidRDefault="00D214E8" w14:paraId="1AF4D0E8" w14:textId="77777777">
            <w:pPr>
              <w:suppressAutoHyphens w:val="0"/>
              <w:spacing w:after="0"/>
              <w:jc w:val="center"/>
              <w:rPr>
                <w:rFonts w:ascii="Calibri" w:hAnsi="Calibri" w:eastAsia="Times New Roman" w:cs="Calibri"/>
                <w:color w:val="000000"/>
                <w:sz w:val="18"/>
                <w:szCs w:val="18"/>
                <w:lang w:eastAsia="es-CO"/>
              </w:rPr>
            </w:pPr>
            <w:r w:rsidRPr="00DD47A3">
              <w:rPr>
                <w:sz w:val="18"/>
                <w:szCs w:val="18"/>
              </w:rPr>
              <w:t xml:space="preserve"> $29.346.557.543,00 </w:t>
            </w:r>
          </w:p>
        </w:tc>
      </w:tr>
      <w:tr w:rsidRPr="00DD47A3" w:rsidR="00D214E8" w:rsidTr="009B3E82" w14:paraId="011BBBCA" w14:textId="77777777">
        <w:trPr>
          <w:trHeight w:val="288"/>
          <w:jc w:val="center"/>
        </w:trPr>
        <w:tc>
          <w:tcPr>
            <w:tcW w:w="1334" w:type="pct"/>
            <w:noWrap/>
            <w:hideMark/>
          </w:tcPr>
          <w:p w:rsidRPr="00DD47A3" w:rsidR="00D214E8" w:rsidP="00D97D31" w:rsidRDefault="00D214E8" w14:paraId="235FDB08" w14:textId="77777777">
            <w:pPr>
              <w:suppressAutoHyphens w:val="0"/>
              <w:spacing w:after="0"/>
              <w:ind w:firstLine="180" w:firstLineChars="100"/>
              <w:jc w:val="center"/>
              <w:rPr>
                <w:rFonts w:ascii="Calibri" w:hAnsi="Calibri" w:eastAsia="Times New Roman" w:cs="Calibri"/>
                <w:color w:val="000000"/>
                <w:sz w:val="18"/>
                <w:szCs w:val="18"/>
                <w:lang w:eastAsia="es-CO"/>
              </w:rPr>
            </w:pPr>
            <w:r w:rsidRPr="00DD47A3">
              <w:rPr>
                <w:sz w:val="18"/>
                <w:szCs w:val="18"/>
              </w:rPr>
              <w:t>Magdalena</w:t>
            </w:r>
          </w:p>
        </w:tc>
        <w:tc>
          <w:tcPr>
            <w:tcW w:w="1630" w:type="pct"/>
            <w:noWrap/>
            <w:hideMark/>
          </w:tcPr>
          <w:p w:rsidRPr="00DD47A3" w:rsidR="00D214E8" w:rsidP="00D97D31" w:rsidRDefault="00D214E8" w14:paraId="2F629022" w14:textId="77777777">
            <w:pPr>
              <w:suppressAutoHyphens w:val="0"/>
              <w:spacing w:after="0"/>
              <w:jc w:val="center"/>
              <w:rPr>
                <w:rFonts w:ascii="Calibri" w:hAnsi="Calibri" w:eastAsia="Times New Roman" w:cs="Calibri"/>
                <w:color w:val="000000"/>
                <w:sz w:val="18"/>
                <w:szCs w:val="18"/>
                <w:lang w:eastAsia="es-CO"/>
              </w:rPr>
            </w:pPr>
            <w:r w:rsidRPr="00DD47A3">
              <w:rPr>
                <w:sz w:val="18"/>
                <w:szCs w:val="18"/>
              </w:rPr>
              <w:t>884</w:t>
            </w:r>
          </w:p>
        </w:tc>
        <w:tc>
          <w:tcPr>
            <w:tcW w:w="2036" w:type="pct"/>
            <w:noWrap/>
            <w:hideMark/>
          </w:tcPr>
          <w:p w:rsidRPr="00DD47A3" w:rsidR="00D214E8" w:rsidP="00D97D31" w:rsidRDefault="00D214E8" w14:paraId="7340341A" w14:textId="77777777">
            <w:pPr>
              <w:suppressAutoHyphens w:val="0"/>
              <w:spacing w:after="0"/>
              <w:jc w:val="center"/>
              <w:rPr>
                <w:rFonts w:ascii="Calibri" w:hAnsi="Calibri" w:eastAsia="Times New Roman" w:cs="Calibri"/>
                <w:color w:val="000000"/>
                <w:sz w:val="18"/>
                <w:szCs w:val="18"/>
                <w:lang w:eastAsia="es-CO"/>
              </w:rPr>
            </w:pPr>
            <w:r w:rsidRPr="00DD47A3">
              <w:rPr>
                <w:sz w:val="18"/>
                <w:szCs w:val="18"/>
              </w:rPr>
              <w:t xml:space="preserve"> $7.977.908.488,00 </w:t>
            </w:r>
          </w:p>
        </w:tc>
      </w:tr>
      <w:tr w:rsidRPr="00DD47A3" w:rsidR="00D214E8" w:rsidTr="009B3E82" w14:paraId="0BFBF28D" w14:textId="77777777">
        <w:trPr>
          <w:trHeight w:val="288"/>
          <w:jc w:val="center"/>
        </w:trPr>
        <w:tc>
          <w:tcPr>
            <w:tcW w:w="1334" w:type="pct"/>
            <w:shd w:val="clear" w:color="auto" w:fill="D9E2F3" w:themeFill="accent1" w:themeFillTint="33"/>
            <w:noWrap/>
            <w:hideMark/>
          </w:tcPr>
          <w:p w:rsidRPr="00DD47A3" w:rsidR="00D214E8" w:rsidP="00D97D31" w:rsidRDefault="00D214E8" w14:paraId="1FFFEF0E" w14:textId="77777777">
            <w:pPr>
              <w:suppressAutoHyphens w:val="0"/>
              <w:spacing w:after="0"/>
              <w:jc w:val="center"/>
              <w:rPr>
                <w:rFonts w:ascii="Calibri" w:hAnsi="Calibri" w:eastAsia="Times New Roman" w:cs="Calibri"/>
                <w:b/>
                <w:bCs/>
                <w:color w:val="000000"/>
                <w:sz w:val="18"/>
                <w:szCs w:val="18"/>
                <w:lang w:eastAsia="es-CO"/>
              </w:rPr>
            </w:pPr>
            <w:r w:rsidRPr="00DD47A3">
              <w:rPr>
                <w:b/>
                <w:bCs/>
                <w:sz w:val="18"/>
                <w:szCs w:val="18"/>
              </w:rPr>
              <w:t>Total</w:t>
            </w:r>
          </w:p>
        </w:tc>
        <w:tc>
          <w:tcPr>
            <w:tcW w:w="1630" w:type="pct"/>
            <w:shd w:val="clear" w:color="auto" w:fill="D9E2F3" w:themeFill="accent1" w:themeFillTint="33"/>
            <w:noWrap/>
            <w:hideMark/>
          </w:tcPr>
          <w:p w:rsidRPr="00DD47A3" w:rsidR="00D214E8" w:rsidP="00D97D31" w:rsidRDefault="00D214E8" w14:paraId="3882A82E" w14:textId="77777777">
            <w:pPr>
              <w:suppressAutoHyphens w:val="0"/>
              <w:spacing w:after="0"/>
              <w:jc w:val="center"/>
              <w:rPr>
                <w:rFonts w:ascii="Calibri" w:hAnsi="Calibri" w:eastAsia="Times New Roman" w:cs="Calibri"/>
                <w:b/>
                <w:bCs/>
                <w:color w:val="000000"/>
                <w:sz w:val="18"/>
                <w:szCs w:val="18"/>
                <w:lang w:eastAsia="es-CO"/>
              </w:rPr>
            </w:pPr>
            <w:r w:rsidRPr="00DD47A3">
              <w:rPr>
                <w:b/>
                <w:bCs/>
                <w:sz w:val="18"/>
                <w:szCs w:val="18"/>
              </w:rPr>
              <w:t>10.990</w:t>
            </w:r>
          </w:p>
        </w:tc>
        <w:tc>
          <w:tcPr>
            <w:tcW w:w="2036" w:type="pct"/>
            <w:shd w:val="clear" w:color="auto" w:fill="D9E2F3" w:themeFill="accent1" w:themeFillTint="33"/>
            <w:noWrap/>
            <w:hideMark/>
          </w:tcPr>
          <w:p w:rsidRPr="00DD47A3" w:rsidR="00D214E8" w:rsidP="00D97D31" w:rsidRDefault="00D214E8" w14:paraId="077AC59E" w14:textId="77777777">
            <w:pPr>
              <w:suppressAutoHyphens w:val="0"/>
              <w:spacing w:after="0"/>
              <w:jc w:val="center"/>
              <w:rPr>
                <w:rFonts w:ascii="Calibri" w:hAnsi="Calibri" w:eastAsia="Times New Roman" w:cs="Calibri"/>
                <w:b/>
                <w:bCs/>
                <w:color w:val="000000"/>
                <w:sz w:val="18"/>
                <w:szCs w:val="18"/>
                <w:lang w:eastAsia="es-CO"/>
              </w:rPr>
            </w:pPr>
            <w:r w:rsidRPr="00DD47A3">
              <w:rPr>
                <w:b/>
                <w:bCs/>
                <w:sz w:val="18"/>
                <w:szCs w:val="18"/>
              </w:rPr>
              <w:t xml:space="preserve"> $96.301.510.773,00 </w:t>
            </w:r>
          </w:p>
        </w:tc>
      </w:tr>
    </w:tbl>
    <w:p w:rsidR="00D214E8" w:rsidP="00D97D31" w:rsidRDefault="00D214E8" w14:paraId="5B94CEE2" w14:textId="77777777">
      <w:pPr>
        <w:spacing w:after="0"/>
        <w:jc w:val="center"/>
        <w:rPr>
          <w:sz w:val="18"/>
          <w:szCs w:val="18"/>
        </w:rPr>
      </w:pPr>
      <w:r w:rsidRPr="0F263A78">
        <w:rPr>
          <w:b/>
          <w:bCs/>
          <w:i/>
          <w:iCs/>
          <w:sz w:val="18"/>
          <w:szCs w:val="18"/>
        </w:rPr>
        <w:t>Fuente:</w:t>
      </w:r>
      <w:r w:rsidRPr="0F263A78">
        <w:rPr>
          <w:sz w:val="18"/>
          <w:szCs w:val="18"/>
        </w:rPr>
        <w:t xml:space="preserve"> Elaboración propia</w:t>
      </w:r>
    </w:p>
    <w:p w:rsidR="00DF05C0" w:rsidP="00D97D31" w:rsidRDefault="00DF05C0" w14:paraId="39EC3780" w14:textId="1D5D1944">
      <w:pPr>
        <w:spacing w:after="0"/>
        <w:ind w:left="1560" w:right="1607"/>
        <w:jc w:val="both"/>
        <w:rPr>
          <w:rFonts w:ascii="Calibri" w:hAnsi="Calibri" w:cs="Calibri"/>
          <w:b/>
          <w:bCs/>
          <w:highlight w:val="yellow"/>
        </w:rPr>
      </w:pPr>
      <w:r w:rsidRPr="005207FC">
        <w:rPr>
          <w:b/>
          <w:bCs/>
          <w:sz w:val="18"/>
          <w:szCs w:val="18"/>
        </w:rPr>
        <w:t>Nota:</w:t>
      </w:r>
      <w:r>
        <w:rPr>
          <w:sz w:val="18"/>
          <w:szCs w:val="18"/>
        </w:rPr>
        <w:t xml:space="preserve"> Los usuarios asociados en la Tabla 9, fueron beneficiados de 30 contratos suscritos durante la vigencia 2025. Estos fueron aprobados y viabilizados por el Ministerio de Minas y Energía</w:t>
      </w:r>
      <w:r w:rsidR="00070DC7">
        <w:rPr>
          <w:sz w:val="18"/>
          <w:szCs w:val="18"/>
        </w:rPr>
        <w:t xml:space="preserve"> a través de dos convocatorias realizadas durante la vigencia. Por medio de la Convocatoria PRONE 001-2025 expedida a través de la resolución 402</w:t>
      </w:r>
      <w:r w:rsidR="00D22C87">
        <w:rPr>
          <w:sz w:val="18"/>
          <w:szCs w:val="18"/>
        </w:rPr>
        <w:t>43</w:t>
      </w:r>
      <w:r w:rsidR="00070DC7">
        <w:rPr>
          <w:sz w:val="18"/>
          <w:szCs w:val="18"/>
        </w:rPr>
        <w:t xml:space="preserve"> de 2025 se aprobaron </w:t>
      </w:r>
      <w:r w:rsidR="001E2F0D">
        <w:rPr>
          <w:sz w:val="18"/>
          <w:szCs w:val="18"/>
        </w:rPr>
        <w:t xml:space="preserve">5 proyectos y </w:t>
      </w:r>
      <w:r w:rsidR="00F20CD8">
        <w:rPr>
          <w:sz w:val="18"/>
          <w:szCs w:val="18"/>
        </w:rPr>
        <w:t>en la Convocatoria PRONE 003-2025 expedida a través de la resolución 40432 de 2025 se aprobaron 25 proyectos</w:t>
      </w:r>
      <w:r>
        <w:rPr>
          <w:sz w:val="18"/>
          <w:szCs w:val="18"/>
        </w:rPr>
        <w:t xml:space="preserve">. </w:t>
      </w:r>
    </w:p>
    <w:p w:rsidR="00DF05C0" w:rsidP="00D97D31" w:rsidRDefault="00DF05C0" w14:paraId="2EF64CC7" w14:textId="77777777">
      <w:pPr>
        <w:spacing w:after="0"/>
        <w:jc w:val="center"/>
        <w:rPr>
          <w:rFonts w:ascii="Calibri" w:hAnsi="Calibri" w:cs="Calibri"/>
          <w:b/>
          <w:bCs/>
          <w:highlight w:val="yellow"/>
        </w:rPr>
      </w:pPr>
    </w:p>
    <w:p w:rsidR="00DF6B77" w:rsidP="00D97D31" w:rsidRDefault="00DF6B77" w14:paraId="5E656B14" w14:textId="77777777">
      <w:pPr>
        <w:spacing w:beforeAutospacing="1" w:afterAutospacing="1"/>
        <w:jc w:val="both"/>
        <w:rPr>
          <w:highlight w:val="yellow"/>
        </w:rPr>
      </w:pPr>
      <w:r w:rsidRPr="008F56D1">
        <w:t>Ahora bien, en el marco de lo dispuesto en el artículo 1 del Decreto 0375 de 2026 el cual indica que:</w:t>
      </w:r>
    </w:p>
    <w:p w:rsidR="00D214E8" w:rsidP="00D97D31" w:rsidRDefault="00D214E8" w14:paraId="605EC6CC" w14:textId="77777777">
      <w:pPr>
        <w:spacing w:beforeAutospacing="1" w:afterAutospacing="1"/>
        <w:ind w:left="708"/>
        <w:jc w:val="both"/>
        <w:rPr>
          <w:i/>
          <w:iCs/>
        </w:rPr>
      </w:pPr>
      <w:r w:rsidRPr="0F263A78">
        <w:rPr>
          <w:i/>
          <w:iCs/>
        </w:rPr>
        <w:t xml:space="preserve">“(…) Transición de planes, programas y proyectos eléctricos y de gas. El Ministerio de Minas y Energía a través de </w:t>
      </w:r>
      <w:proofErr w:type="spellStart"/>
      <w:r w:rsidRPr="0F263A78">
        <w:rPr>
          <w:i/>
          <w:iCs/>
        </w:rPr>
        <w:t>Fonenergía</w:t>
      </w:r>
      <w:proofErr w:type="spellEnd"/>
      <w:r w:rsidRPr="0F263A78">
        <w:rPr>
          <w:i/>
          <w:iCs/>
        </w:rPr>
        <w:t xml:space="preserve"> adquiere los derechos y obligaciones derivados de los recursos asignados y ejecutados mediante los Fondos FAER, FAZNI, PRONE y FECFGN.</w:t>
      </w:r>
    </w:p>
    <w:p w:rsidR="00D214E8" w:rsidP="00D97D31" w:rsidRDefault="00D214E8" w14:paraId="2EFD78F8" w14:textId="77777777">
      <w:pPr>
        <w:spacing w:beforeAutospacing="1" w:afterAutospacing="1"/>
        <w:ind w:left="708"/>
        <w:jc w:val="both"/>
        <w:rPr>
          <w:i/>
          <w:iCs/>
        </w:rPr>
      </w:pPr>
      <w:r w:rsidRPr="0F263A78">
        <w:rPr>
          <w:i/>
          <w:iCs/>
        </w:rPr>
        <w:t xml:space="preserve">Los derechos y/u obligaciones que emanan de los planes, programas y/o proyectos que antes de la entrada en operación de </w:t>
      </w:r>
      <w:proofErr w:type="spellStart"/>
      <w:r w:rsidRPr="0F263A78">
        <w:rPr>
          <w:i/>
          <w:iCs/>
        </w:rPr>
        <w:t>Fonenergía</w:t>
      </w:r>
      <w:proofErr w:type="spellEnd"/>
      <w:r w:rsidRPr="0F263A78">
        <w:rPr>
          <w:i/>
          <w:iCs/>
        </w:rPr>
        <w:t xml:space="preserve"> se financiaban con los recursos de los fondos FAZNI, FAER, PRONE, FECFGN, continuarán en cabeza del Ministerio de Minas y Energía a través del </w:t>
      </w:r>
      <w:proofErr w:type="spellStart"/>
      <w:r w:rsidRPr="0F263A78">
        <w:rPr>
          <w:i/>
          <w:iCs/>
        </w:rPr>
        <w:t>Fonenergía</w:t>
      </w:r>
      <w:proofErr w:type="spellEnd"/>
      <w:r w:rsidRPr="0F263A78">
        <w:rPr>
          <w:i/>
          <w:iCs/>
        </w:rPr>
        <w:t>.</w:t>
      </w:r>
    </w:p>
    <w:p w:rsidR="00D214E8" w:rsidP="00D97D31" w:rsidRDefault="00D214E8" w14:paraId="4D169B68" w14:textId="77777777">
      <w:pPr>
        <w:spacing w:beforeAutospacing="1" w:afterAutospacing="1"/>
        <w:ind w:left="708"/>
        <w:jc w:val="both"/>
        <w:rPr>
          <w:i/>
          <w:iCs/>
        </w:rPr>
      </w:pPr>
      <w:r w:rsidRPr="0F263A78">
        <w:rPr>
          <w:i/>
          <w:iCs/>
        </w:rPr>
        <w:t xml:space="preserve">Así mismo estos planes, programas y/o proyectos que a la entrada en operación de </w:t>
      </w:r>
      <w:proofErr w:type="spellStart"/>
      <w:r w:rsidRPr="0F263A78">
        <w:rPr>
          <w:i/>
          <w:iCs/>
        </w:rPr>
        <w:t>Fonenergía</w:t>
      </w:r>
      <w:proofErr w:type="spellEnd"/>
      <w:r w:rsidRPr="0F263A78">
        <w:rPr>
          <w:i/>
          <w:iCs/>
        </w:rPr>
        <w:t xml:space="preserve"> se encuentren evaluados y/o priorizados, pero respecto de los cuales no se haya asignado recursos por el Ministerio de Minas y Energía, deberán continuar su trámite ante el Comité de Administración de </w:t>
      </w:r>
      <w:proofErr w:type="spellStart"/>
      <w:r w:rsidRPr="0F263A78">
        <w:rPr>
          <w:i/>
          <w:iCs/>
        </w:rPr>
        <w:t>Fonenergía</w:t>
      </w:r>
      <w:proofErr w:type="spellEnd"/>
      <w:r w:rsidRPr="0F263A78">
        <w:rPr>
          <w:i/>
          <w:iCs/>
        </w:rPr>
        <w:t xml:space="preserve"> para su financiación, conservando su orden de priorización de acuerdo con el marco normativo aplicable al momento de su evaluación y/o lo dispuesto por el Manual Operativo (…)”</w:t>
      </w:r>
    </w:p>
    <w:p w:rsidR="00D214E8" w:rsidP="00D97D31" w:rsidRDefault="00943B0C" w14:paraId="7754D266" w14:textId="0E550608">
      <w:pPr>
        <w:spacing w:beforeAutospacing="1" w:afterAutospacing="1"/>
        <w:jc w:val="both"/>
      </w:pPr>
      <w:r>
        <w:t>Se pretende trasladar un valor de $ 24.26</w:t>
      </w:r>
      <w:r w:rsidR="00A357FE">
        <w:t>6.189.702</w:t>
      </w:r>
      <w:r>
        <w:t xml:space="preserve"> para continuar con las actividades de a</w:t>
      </w:r>
      <w:r w:rsidRPr="00A0106C">
        <w:t>signa</w:t>
      </w:r>
      <w:r>
        <w:t>ción de</w:t>
      </w:r>
      <w:r w:rsidRPr="00A0106C">
        <w:t xml:space="preserve"> recursos para financiar soluciones energéticas de planes, programas o proyectos priorizados </w:t>
      </w:r>
      <w:r>
        <w:t>presentes en FONENERGIA.</w:t>
      </w:r>
      <w:r w:rsidR="00300067">
        <w:t xml:space="preserve"> </w:t>
      </w:r>
      <w:r w:rsidR="00D214E8">
        <w:t xml:space="preserve">Razón por la cual, la meta se ve afectada y los 1.947 usuarios pendientes de beneficio serán trasladados al proyecto de inversión acreditado que contempla la financiación de proyectos de inversión y la estructuración de los mismos; dado que su objetivo es aumentar la capacidad de la red eléctrica, el rubro a trasladar estará orientado a brindar soluciones energéticas a través de los proyectos que cuenten con concepto FAVORABLE en las convocatorias expedidas por el Ministerio, a través de la presentación por iniciativa propia de los Operadores de Red o los estructurados por el Ministerio. </w:t>
      </w:r>
    </w:p>
    <w:p w:rsidRPr="009D13BA" w:rsidR="00D214E8" w:rsidP="00D97D31" w:rsidRDefault="00D214E8" w14:paraId="0C18894C" w14:textId="529C803D">
      <w:pPr>
        <w:jc w:val="center"/>
        <w:rPr>
          <w:rFonts w:ascii="Calibri" w:hAnsi="Calibri" w:cs="Calibri"/>
          <w:b/>
          <w:bCs/>
        </w:rPr>
      </w:pPr>
      <w:r w:rsidRPr="009D13BA">
        <w:rPr>
          <w:rFonts w:ascii="Calibri" w:hAnsi="Calibri" w:cs="Calibri"/>
          <w:b/>
          <w:bCs/>
        </w:rPr>
        <w:t>Tabla 1</w:t>
      </w:r>
      <w:r w:rsidR="008C3C93">
        <w:rPr>
          <w:rFonts w:ascii="Calibri" w:hAnsi="Calibri" w:cs="Calibri"/>
          <w:b/>
          <w:bCs/>
        </w:rPr>
        <w:t>4</w:t>
      </w:r>
      <w:r w:rsidRPr="009D13BA">
        <w:rPr>
          <w:rFonts w:ascii="Calibri" w:hAnsi="Calibri" w:cs="Calibri"/>
          <w:b/>
          <w:bCs/>
        </w:rPr>
        <w:t>. Resumen del movimiento de recursos del proyecto de inversión BPIN 2018011001045</w:t>
      </w:r>
    </w:p>
    <w:tbl>
      <w:tblPr>
        <w:tblW w:w="0" w:type="auto"/>
        <w:tblLook w:val="06A0" w:firstRow="1" w:lastRow="0" w:firstColumn="1" w:lastColumn="0" w:noHBand="1" w:noVBand="1"/>
      </w:tblPr>
      <w:tblGrid>
        <w:gridCol w:w="1937"/>
        <w:gridCol w:w="1744"/>
        <w:gridCol w:w="1812"/>
        <w:gridCol w:w="1610"/>
        <w:gridCol w:w="952"/>
        <w:gridCol w:w="1339"/>
      </w:tblGrid>
      <w:tr w:rsidRPr="00DD47A3" w:rsidR="00D214E8" w:rsidTr="009B3E82" w14:paraId="176A495C" w14:textId="77777777">
        <w:trPr>
          <w:trHeight w:val="285"/>
        </w:trPr>
        <w:tc>
          <w:tcPr>
            <w:tcW w:w="193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vAlign w:val="center"/>
          </w:tcPr>
          <w:p w:rsidRPr="00DD47A3" w:rsidR="00D214E8" w:rsidP="00D97D31" w:rsidRDefault="00D214E8" w14:paraId="2457CE00" w14:textId="77777777">
            <w:pPr>
              <w:spacing w:after="0"/>
              <w:jc w:val="center"/>
              <w:rPr>
                <w:sz w:val="18"/>
                <w:szCs w:val="18"/>
              </w:rPr>
            </w:pPr>
            <w:r w:rsidRPr="00DD47A3">
              <w:rPr>
                <w:rFonts w:eastAsia="Calibri" w:cstheme="minorHAnsi"/>
                <w:b/>
                <w:bCs/>
                <w:color w:val="000000" w:themeColor="text1"/>
                <w:sz w:val="18"/>
                <w:szCs w:val="18"/>
              </w:rPr>
              <w:t>Actividad</w:t>
            </w:r>
          </w:p>
        </w:tc>
        <w:tc>
          <w:tcPr>
            <w:tcW w:w="174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vAlign w:val="center"/>
          </w:tcPr>
          <w:p w:rsidRPr="00DD47A3" w:rsidR="00D214E8" w:rsidP="00D97D31" w:rsidRDefault="00D214E8" w14:paraId="5786A1FA" w14:textId="77777777">
            <w:pPr>
              <w:spacing w:after="0"/>
              <w:jc w:val="center"/>
              <w:rPr>
                <w:sz w:val="18"/>
                <w:szCs w:val="18"/>
              </w:rPr>
            </w:pPr>
            <w:r w:rsidRPr="00DD47A3">
              <w:rPr>
                <w:rFonts w:eastAsia="Calibri" w:cstheme="minorHAnsi"/>
                <w:b/>
                <w:bCs/>
                <w:color w:val="000000" w:themeColor="text1"/>
                <w:sz w:val="18"/>
                <w:szCs w:val="18"/>
              </w:rPr>
              <w:t>Vigente</w:t>
            </w:r>
          </w:p>
        </w:tc>
        <w:tc>
          <w:tcPr>
            <w:tcW w:w="181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vAlign w:val="center"/>
          </w:tcPr>
          <w:p w:rsidRPr="00DD47A3" w:rsidR="00D214E8" w:rsidP="00D97D31" w:rsidRDefault="00D214E8" w14:paraId="6300D4B3" w14:textId="77777777">
            <w:pPr>
              <w:spacing w:after="0"/>
              <w:jc w:val="center"/>
              <w:rPr>
                <w:sz w:val="18"/>
                <w:szCs w:val="18"/>
              </w:rPr>
            </w:pPr>
            <w:r w:rsidRPr="00DD47A3">
              <w:rPr>
                <w:rFonts w:eastAsia="Calibri" w:cstheme="minorHAnsi"/>
                <w:b/>
                <w:bCs/>
                <w:color w:val="000000" w:themeColor="text1"/>
                <w:sz w:val="18"/>
                <w:szCs w:val="18"/>
              </w:rPr>
              <w:t>Compromiso</w:t>
            </w:r>
          </w:p>
        </w:tc>
        <w:tc>
          <w:tcPr>
            <w:tcW w:w="161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vAlign w:val="center"/>
          </w:tcPr>
          <w:p w:rsidRPr="00DD47A3" w:rsidR="00D214E8" w:rsidP="00D97D31" w:rsidRDefault="00D214E8" w14:paraId="31ECD1E9" w14:textId="77777777">
            <w:pPr>
              <w:jc w:val="center"/>
              <w:rPr>
                <w:rFonts w:eastAsia="Calibri" w:cstheme="minorHAnsi"/>
                <w:b/>
                <w:bCs/>
                <w:color w:val="000000" w:themeColor="text1"/>
                <w:sz w:val="18"/>
                <w:szCs w:val="18"/>
              </w:rPr>
            </w:pPr>
            <w:proofErr w:type="spellStart"/>
            <w:r w:rsidRPr="00DD47A3">
              <w:rPr>
                <w:rFonts w:eastAsia="Calibri" w:cstheme="minorHAnsi"/>
                <w:b/>
                <w:bCs/>
                <w:color w:val="000000" w:themeColor="text1"/>
                <w:sz w:val="18"/>
                <w:szCs w:val="18"/>
              </w:rPr>
              <w:t>Contracrédito</w:t>
            </w:r>
            <w:proofErr w:type="spellEnd"/>
          </w:p>
        </w:tc>
        <w:tc>
          <w:tcPr>
            <w:tcW w:w="95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vAlign w:val="center"/>
          </w:tcPr>
          <w:p w:rsidRPr="00DD47A3" w:rsidR="00D214E8" w:rsidP="00D97D31" w:rsidRDefault="00D214E8" w14:paraId="653DAD49" w14:textId="77777777">
            <w:pPr>
              <w:jc w:val="center"/>
              <w:rPr>
                <w:rFonts w:eastAsia="Calibri" w:cstheme="minorHAnsi"/>
                <w:b/>
                <w:bCs/>
                <w:color w:val="000000" w:themeColor="text1"/>
                <w:sz w:val="18"/>
                <w:szCs w:val="18"/>
              </w:rPr>
            </w:pPr>
            <w:r w:rsidRPr="00DD47A3">
              <w:rPr>
                <w:rFonts w:eastAsia="Calibri" w:cstheme="minorHAnsi"/>
                <w:b/>
                <w:bCs/>
                <w:color w:val="000000" w:themeColor="text1"/>
                <w:sz w:val="18"/>
                <w:szCs w:val="18"/>
              </w:rPr>
              <w:t>Crédito</w:t>
            </w:r>
          </w:p>
        </w:tc>
        <w:tc>
          <w:tcPr>
            <w:tcW w:w="133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vAlign w:val="center"/>
          </w:tcPr>
          <w:p w:rsidRPr="00DD47A3" w:rsidR="00D214E8" w:rsidP="00D97D31" w:rsidRDefault="00D214E8" w14:paraId="0A2DBAF7" w14:textId="77777777">
            <w:pPr>
              <w:jc w:val="center"/>
              <w:rPr>
                <w:rFonts w:eastAsia="Calibri" w:cstheme="minorHAnsi"/>
                <w:b/>
                <w:bCs/>
                <w:color w:val="000000" w:themeColor="text1"/>
                <w:sz w:val="18"/>
                <w:szCs w:val="18"/>
              </w:rPr>
            </w:pPr>
            <w:r w:rsidRPr="00DD47A3">
              <w:rPr>
                <w:rFonts w:eastAsia="Calibri" w:cstheme="minorHAnsi"/>
                <w:b/>
                <w:bCs/>
                <w:color w:val="000000" w:themeColor="text1"/>
                <w:sz w:val="18"/>
                <w:szCs w:val="18"/>
              </w:rPr>
              <w:t>Valor después del movimiento</w:t>
            </w:r>
          </w:p>
        </w:tc>
      </w:tr>
      <w:tr w:rsidRPr="00DD47A3" w:rsidR="00D214E8" w:rsidTr="009B3E82" w14:paraId="3FDEE39A" w14:textId="77777777">
        <w:trPr>
          <w:trHeight w:val="735"/>
        </w:trPr>
        <w:tc>
          <w:tcPr>
            <w:tcW w:w="1937"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bottom"/>
          </w:tcPr>
          <w:p w:rsidRPr="00DD47A3" w:rsidR="00D214E8" w:rsidP="00D97D31" w:rsidRDefault="00D214E8" w14:paraId="638D07AA" w14:textId="77777777">
            <w:pPr>
              <w:spacing w:after="0"/>
              <w:jc w:val="both"/>
              <w:rPr>
                <w:sz w:val="18"/>
                <w:szCs w:val="18"/>
              </w:rPr>
            </w:pPr>
            <w:r w:rsidRPr="00DD47A3">
              <w:rPr>
                <w:rFonts w:eastAsia="Nunito" w:cstheme="minorHAnsi"/>
                <w:color w:val="000000" w:themeColor="text1"/>
                <w:sz w:val="18"/>
                <w:szCs w:val="18"/>
              </w:rPr>
              <w:t>1.1.1 Girar los recursos destinados a financiar la normalización de redes de energía eléctrica en barrios subnormales situados en municipios del sistema interconectado nacional, sin</w:t>
            </w:r>
          </w:p>
        </w:tc>
        <w:tc>
          <w:tcPr>
            <w:tcW w:w="174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D47A3" w:rsidR="00D214E8" w:rsidP="00D97D31" w:rsidRDefault="00D214E8" w14:paraId="346BFC45" w14:textId="77777777">
            <w:pPr>
              <w:spacing w:after="0"/>
              <w:jc w:val="center"/>
              <w:rPr>
                <w:sz w:val="18"/>
                <w:szCs w:val="18"/>
              </w:rPr>
            </w:pPr>
            <w:r w:rsidRPr="00DD47A3">
              <w:rPr>
                <w:rFonts w:eastAsia="Nunito" w:cstheme="minorHAnsi"/>
                <w:color w:val="000000" w:themeColor="text1"/>
                <w:sz w:val="18"/>
                <w:szCs w:val="18"/>
              </w:rPr>
              <w:t>$ 134.372.137.713</w:t>
            </w:r>
          </w:p>
        </w:tc>
        <w:tc>
          <w:tcPr>
            <w:tcW w:w="1812"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D47A3" w:rsidR="00D214E8" w:rsidP="00D97D31" w:rsidRDefault="00D214E8" w14:paraId="2DB9B20B" w14:textId="77777777">
            <w:pPr>
              <w:spacing w:after="0"/>
              <w:jc w:val="center"/>
              <w:rPr>
                <w:sz w:val="18"/>
                <w:szCs w:val="18"/>
              </w:rPr>
            </w:pPr>
            <w:r w:rsidRPr="00DD47A3">
              <w:rPr>
                <w:rFonts w:eastAsia="Calibri" w:cstheme="minorHAnsi"/>
                <w:color w:val="000000" w:themeColor="text1"/>
                <w:sz w:val="18"/>
                <w:szCs w:val="18"/>
              </w:rPr>
              <w:t>$ 96.301.510.773</w:t>
            </w:r>
          </w:p>
        </w:tc>
        <w:tc>
          <w:tcPr>
            <w:tcW w:w="161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D47A3" w:rsidR="00D214E8" w:rsidP="00D97D31" w:rsidRDefault="00D214E8" w14:paraId="47F014B5" w14:textId="77777777">
            <w:pPr>
              <w:jc w:val="center"/>
              <w:rPr>
                <w:rFonts w:eastAsia="Calibri" w:cstheme="minorHAnsi"/>
                <w:color w:val="000000" w:themeColor="text1"/>
                <w:sz w:val="18"/>
                <w:szCs w:val="18"/>
              </w:rPr>
            </w:pPr>
          </w:p>
        </w:tc>
        <w:tc>
          <w:tcPr>
            <w:tcW w:w="952"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D47A3" w:rsidR="00D214E8" w:rsidP="00D97D31" w:rsidRDefault="00D214E8" w14:paraId="60572CE2" w14:textId="77777777">
            <w:pPr>
              <w:jc w:val="center"/>
              <w:rPr>
                <w:rFonts w:eastAsia="Calibri" w:cstheme="minorHAnsi"/>
                <w:color w:val="000000" w:themeColor="text1"/>
                <w:sz w:val="18"/>
                <w:szCs w:val="18"/>
              </w:rPr>
            </w:pPr>
          </w:p>
        </w:tc>
        <w:tc>
          <w:tcPr>
            <w:tcW w:w="133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D47A3" w:rsidR="00D214E8" w:rsidP="00D97D31" w:rsidRDefault="00D214E8" w14:paraId="0B61BEBC" w14:textId="77777777">
            <w:pPr>
              <w:jc w:val="center"/>
              <w:rPr>
                <w:rFonts w:eastAsia="Calibri" w:cstheme="minorHAnsi"/>
                <w:color w:val="000000" w:themeColor="text1"/>
                <w:sz w:val="18"/>
                <w:szCs w:val="18"/>
              </w:rPr>
            </w:pPr>
          </w:p>
        </w:tc>
      </w:tr>
      <w:tr w:rsidRPr="00DD47A3" w:rsidR="00D214E8" w:rsidTr="009B3E82" w14:paraId="785A89E0" w14:textId="77777777">
        <w:trPr>
          <w:trHeight w:val="720"/>
        </w:trPr>
        <w:tc>
          <w:tcPr>
            <w:tcW w:w="1937"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bottom"/>
          </w:tcPr>
          <w:p w:rsidRPr="00DD47A3" w:rsidR="00D214E8" w:rsidP="00D97D31" w:rsidRDefault="00D214E8" w14:paraId="64CE525A" w14:textId="77777777">
            <w:pPr>
              <w:spacing w:after="0"/>
              <w:jc w:val="both"/>
              <w:rPr>
                <w:sz w:val="18"/>
                <w:szCs w:val="18"/>
              </w:rPr>
            </w:pPr>
            <w:r w:rsidRPr="00DD47A3">
              <w:rPr>
                <w:rFonts w:eastAsia="Nunito" w:cstheme="minorHAnsi"/>
                <w:color w:val="000000" w:themeColor="text1"/>
                <w:sz w:val="18"/>
                <w:szCs w:val="18"/>
              </w:rPr>
              <w:t>1.1.2 Girar los recursos para asistencia técnica y capacitación en el uso adecuado de la energía para su sostenibilidad</w:t>
            </w:r>
          </w:p>
        </w:tc>
        <w:tc>
          <w:tcPr>
            <w:tcW w:w="174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D47A3" w:rsidR="00D214E8" w:rsidP="00D97D31" w:rsidRDefault="00D214E8" w14:paraId="5A3A2481" w14:textId="77777777">
            <w:pPr>
              <w:spacing w:after="0"/>
              <w:jc w:val="center"/>
              <w:rPr>
                <w:sz w:val="18"/>
                <w:szCs w:val="18"/>
              </w:rPr>
            </w:pPr>
            <w:r w:rsidRPr="00DD47A3">
              <w:rPr>
                <w:rFonts w:eastAsia="Nunito" w:cstheme="minorHAnsi"/>
                <w:color w:val="000000" w:themeColor="text1"/>
                <w:sz w:val="18"/>
                <w:szCs w:val="18"/>
              </w:rPr>
              <w:t>$ 2.202.102.287</w:t>
            </w:r>
          </w:p>
        </w:tc>
        <w:tc>
          <w:tcPr>
            <w:tcW w:w="1812"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D47A3" w:rsidR="00D214E8" w:rsidP="00D97D31" w:rsidRDefault="00D214E8" w14:paraId="03975297" w14:textId="77777777">
            <w:pPr>
              <w:spacing w:after="0"/>
              <w:jc w:val="center"/>
              <w:rPr>
                <w:sz w:val="18"/>
                <w:szCs w:val="18"/>
              </w:rPr>
            </w:pPr>
            <w:r w:rsidRPr="00DD47A3">
              <w:rPr>
                <w:rFonts w:eastAsia="Calibri" w:cstheme="minorHAnsi"/>
                <w:color w:val="000000" w:themeColor="text1"/>
                <w:sz w:val="18"/>
                <w:szCs w:val="18"/>
              </w:rPr>
              <w:t>---</w:t>
            </w:r>
          </w:p>
        </w:tc>
        <w:tc>
          <w:tcPr>
            <w:tcW w:w="161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D47A3" w:rsidR="00D214E8" w:rsidP="00D97D31" w:rsidRDefault="00D214E8" w14:paraId="5F4829A5" w14:textId="77777777">
            <w:pPr>
              <w:jc w:val="center"/>
              <w:rPr>
                <w:sz w:val="18"/>
                <w:szCs w:val="18"/>
              </w:rPr>
            </w:pPr>
            <w:r w:rsidRPr="00DD47A3">
              <w:rPr>
                <w:rFonts w:eastAsia="Calibri" w:cstheme="minorHAnsi"/>
                <w:color w:val="000000" w:themeColor="text1"/>
                <w:sz w:val="18"/>
                <w:szCs w:val="18"/>
              </w:rPr>
              <w:t>$6.246.384.751</w:t>
            </w:r>
          </w:p>
        </w:tc>
        <w:tc>
          <w:tcPr>
            <w:tcW w:w="952"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D47A3" w:rsidR="00D214E8" w:rsidP="00D97D31" w:rsidRDefault="00D214E8" w14:paraId="6E728105" w14:textId="77777777">
            <w:pPr>
              <w:jc w:val="center"/>
              <w:rPr>
                <w:rFonts w:eastAsia="Calibri" w:cstheme="minorHAnsi"/>
                <w:color w:val="000000" w:themeColor="text1"/>
                <w:sz w:val="18"/>
                <w:szCs w:val="18"/>
              </w:rPr>
            </w:pPr>
          </w:p>
        </w:tc>
        <w:tc>
          <w:tcPr>
            <w:tcW w:w="133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D47A3" w:rsidR="00D214E8" w:rsidP="00D97D31" w:rsidRDefault="00D214E8" w14:paraId="39CC941A" w14:textId="77777777">
            <w:pPr>
              <w:jc w:val="center"/>
              <w:rPr>
                <w:rFonts w:eastAsia="Calibri" w:cstheme="minorHAnsi"/>
                <w:color w:val="000000" w:themeColor="text1"/>
                <w:sz w:val="18"/>
                <w:szCs w:val="18"/>
              </w:rPr>
            </w:pPr>
          </w:p>
        </w:tc>
      </w:tr>
      <w:tr w:rsidRPr="00DD47A3" w:rsidR="00D214E8" w:rsidTr="009B3E82" w14:paraId="622910EB" w14:textId="77777777">
        <w:trPr>
          <w:trHeight w:val="495"/>
        </w:trPr>
        <w:tc>
          <w:tcPr>
            <w:tcW w:w="1937"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D47A3" w:rsidR="00D214E8" w:rsidP="00D97D31" w:rsidRDefault="00D214E8" w14:paraId="44684DD0" w14:textId="77777777">
            <w:pPr>
              <w:spacing w:after="0"/>
              <w:jc w:val="both"/>
              <w:rPr>
                <w:sz w:val="18"/>
                <w:szCs w:val="18"/>
              </w:rPr>
            </w:pPr>
            <w:r w:rsidRPr="00DD47A3">
              <w:rPr>
                <w:rFonts w:eastAsia="Nunito" w:cstheme="minorHAnsi"/>
                <w:color w:val="000000" w:themeColor="text1"/>
                <w:sz w:val="18"/>
                <w:szCs w:val="18"/>
              </w:rPr>
              <w:t>1.1.3 Realizar seguimiento a la ejecución de los proyectos</w:t>
            </w:r>
          </w:p>
        </w:tc>
        <w:tc>
          <w:tcPr>
            <w:tcW w:w="1744"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D47A3" w:rsidR="00D214E8" w:rsidP="00D97D31" w:rsidRDefault="00D214E8" w14:paraId="707DECB7" w14:textId="77777777">
            <w:pPr>
              <w:spacing w:after="0"/>
              <w:jc w:val="center"/>
              <w:rPr>
                <w:sz w:val="18"/>
                <w:szCs w:val="18"/>
              </w:rPr>
            </w:pPr>
            <w:r w:rsidRPr="00DD47A3">
              <w:rPr>
                <w:rFonts w:eastAsia="Nunito" w:cstheme="minorHAnsi"/>
                <w:color w:val="000000" w:themeColor="text1"/>
                <w:sz w:val="18"/>
                <w:szCs w:val="18"/>
              </w:rPr>
              <w:t>$ 3.425.760.000</w:t>
            </w:r>
          </w:p>
        </w:tc>
        <w:tc>
          <w:tcPr>
            <w:tcW w:w="1812"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D47A3" w:rsidR="00D214E8" w:rsidP="00D97D31" w:rsidRDefault="00D214E8" w14:paraId="29EF259D" w14:textId="77777777">
            <w:pPr>
              <w:spacing w:after="0"/>
              <w:jc w:val="center"/>
              <w:rPr>
                <w:sz w:val="18"/>
                <w:szCs w:val="18"/>
              </w:rPr>
            </w:pPr>
            <w:r w:rsidRPr="00DD47A3">
              <w:rPr>
                <w:rFonts w:eastAsia="Calibri" w:cstheme="minorHAnsi"/>
                <w:color w:val="000000" w:themeColor="text1"/>
                <w:sz w:val="18"/>
                <w:szCs w:val="18"/>
              </w:rPr>
              <w:t>$ 2.931.538.988</w:t>
            </w:r>
          </w:p>
        </w:tc>
        <w:tc>
          <w:tcPr>
            <w:tcW w:w="1610"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D47A3" w:rsidR="00D214E8" w:rsidP="00D97D31" w:rsidRDefault="00D214E8" w14:paraId="5682B8B2" w14:textId="77777777">
            <w:pPr>
              <w:jc w:val="center"/>
              <w:rPr>
                <w:rFonts w:eastAsia="Calibri" w:cstheme="minorHAnsi"/>
                <w:color w:val="000000" w:themeColor="text1"/>
                <w:sz w:val="18"/>
                <w:szCs w:val="18"/>
              </w:rPr>
            </w:pPr>
          </w:p>
        </w:tc>
        <w:tc>
          <w:tcPr>
            <w:tcW w:w="952"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D47A3" w:rsidR="00D214E8" w:rsidP="00D97D31" w:rsidRDefault="00D214E8" w14:paraId="6FF47B7F" w14:textId="77777777">
            <w:pPr>
              <w:jc w:val="center"/>
              <w:rPr>
                <w:rFonts w:eastAsia="Calibri" w:cstheme="minorHAnsi"/>
                <w:color w:val="000000" w:themeColor="text1"/>
                <w:sz w:val="18"/>
                <w:szCs w:val="18"/>
              </w:rPr>
            </w:pPr>
          </w:p>
        </w:tc>
        <w:tc>
          <w:tcPr>
            <w:tcW w:w="1339"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DD47A3" w:rsidR="00D214E8" w:rsidP="00D97D31" w:rsidRDefault="00D214E8" w14:paraId="1132BA7D" w14:textId="77777777">
            <w:pPr>
              <w:jc w:val="center"/>
              <w:rPr>
                <w:rFonts w:eastAsia="Calibri" w:cstheme="minorHAnsi"/>
                <w:color w:val="000000" w:themeColor="text1"/>
                <w:sz w:val="18"/>
                <w:szCs w:val="18"/>
              </w:rPr>
            </w:pPr>
          </w:p>
        </w:tc>
      </w:tr>
      <w:tr w:rsidRPr="00DD47A3" w:rsidR="00D214E8" w:rsidTr="009B3E82" w14:paraId="20C67AFB" w14:textId="77777777">
        <w:trPr>
          <w:trHeight w:val="285"/>
        </w:trPr>
        <w:tc>
          <w:tcPr>
            <w:tcW w:w="193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vAlign w:val="center"/>
          </w:tcPr>
          <w:p w:rsidRPr="00DD47A3" w:rsidR="00D214E8" w:rsidP="00D97D31" w:rsidRDefault="00D214E8" w14:paraId="5C7AFA76" w14:textId="77777777">
            <w:pPr>
              <w:spacing w:after="0"/>
              <w:jc w:val="center"/>
              <w:rPr>
                <w:sz w:val="18"/>
                <w:szCs w:val="18"/>
              </w:rPr>
            </w:pPr>
            <w:r w:rsidRPr="00DD47A3">
              <w:rPr>
                <w:rFonts w:eastAsia="Calibri" w:cstheme="minorHAnsi"/>
                <w:b/>
                <w:bCs/>
                <w:color w:val="000000" w:themeColor="text1"/>
                <w:sz w:val="18"/>
                <w:szCs w:val="18"/>
              </w:rPr>
              <w:t>Total</w:t>
            </w:r>
          </w:p>
        </w:tc>
        <w:tc>
          <w:tcPr>
            <w:tcW w:w="1744"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vAlign w:val="center"/>
          </w:tcPr>
          <w:p w:rsidRPr="00DD47A3" w:rsidR="00D214E8" w:rsidP="00D97D31" w:rsidRDefault="00D214E8" w14:paraId="74E75AB4" w14:textId="77777777">
            <w:pPr>
              <w:spacing w:after="0"/>
              <w:rPr>
                <w:sz w:val="18"/>
                <w:szCs w:val="18"/>
              </w:rPr>
            </w:pPr>
            <w:r w:rsidRPr="00DD47A3">
              <w:rPr>
                <w:rFonts w:eastAsia="Calibri" w:cstheme="minorHAnsi"/>
                <w:b/>
                <w:bCs/>
                <w:color w:val="000000" w:themeColor="text1"/>
                <w:sz w:val="18"/>
                <w:szCs w:val="18"/>
              </w:rPr>
              <w:t xml:space="preserve">$ 140.000.000.000  </w:t>
            </w:r>
          </w:p>
        </w:tc>
        <w:tc>
          <w:tcPr>
            <w:tcW w:w="181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vAlign w:val="center"/>
          </w:tcPr>
          <w:p w:rsidRPr="00DD47A3" w:rsidR="00D214E8" w:rsidP="00D97D31" w:rsidRDefault="00D214E8" w14:paraId="6A8FA36C" w14:textId="77777777">
            <w:pPr>
              <w:spacing w:after="0"/>
              <w:rPr>
                <w:sz w:val="18"/>
                <w:szCs w:val="18"/>
              </w:rPr>
            </w:pPr>
            <w:r w:rsidRPr="00DD47A3">
              <w:rPr>
                <w:rFonts w:eastAsia="Calibri" w:cstheme="minorHAnsi"/>
                <w:b/>
                <w:bCs/>
                <w:color w:val="000000" w:themeColor="text1"/>
                <w:sz w:val="18"/>
                <w:szCs w:val="18"/>
              </w:rPr>
              <w:t>$ 99.233.049.761</w:t>
            </w:r>
          </w:p>
        </w:tc>
        <w:tc>
          <w:tcPr>
            <w:tcW w:w="161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vAlign w:val="center"/>
          </w:tcPr>
          <w:p w:rsidRPr="00DD47A3" w:rsidR="00D214E8" w:rsidP="00D97D31" w:rsidRDefault="00D214E8" w14:paraId="237D6624" w14:textId="77777777">
            <w:pPr>
              <w:jc w:val="center"/>
              <w:rPr>
                <w:rFonts w:eastAsia="Calibri" w:cstheme="minorHAnsi"/>
                <w:b/>
                <w:bCs/>
                <w:color w:val="000000" w:themeColor="text1"/>
                <w:sz w:val="18"/>
                <w:szCs w:val="18"/>
              </w:rPr>
            </w:pPr>
          </w:p>
        </w:tc>
        <w:tc>
          <w:tcPr>
            <w:tcW w:w="95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vAlign w:val="center"/>
          </w:tcPr>
          <w:p w:rsidRPr="00DD47A3" w:rsidR="00D214E8" w:rsidP="00D97D31" w:rsidRDefault="00D214E8" w14:paraId="1CC428E1" w14:textId="77777777">
            <w:pPr>
              <w:jc w:val="center"/>
              <w:rPr>
                <w:rFonts w:eastAsia="Calibri" w:cstheme="minorHAnsi"/>
                <w:b/>
                <w:bCs/>
                <w:color w:val="000000" w:themeColor="text1"/>
                <w:sz w:val="18"/>
                <w:szCs w:val="18"/>
              </w:rPr>
            </w:pPr>
          </w:p>
        </w:tc>
        <w:tc>
          <w:tcPr>
            <w:tcW w:w="1339"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E2F3" w:themeFill="accent1" w:themeFillTint="33"/>
            <w:vAlign w:val="center"/>
          </w:tcPr>
          <w:p w:rsidRPr="00DD47A3" w:rsidR="00D214E8" w:rsidP="00D97D31" w:rsidRDefault="00D214E8" w14:paraId="2C610340" w14:textId="77777777">
            <w:pPr>
              <w:jc w:val="center"/>
              <w:rPr>
                <w:rFonts w:eastAsia="Calibri" w:cstheme="minorHAnsi"/>
                <w:b/>
                <w:bCs/>
                <w:color w:val="000000" w:themeColor="text1"/>
                <w:sz w:val="18"/>
                <w:szCs w:val="18"/>
              </w:rPr>
            </w:pPr>
          </w:p>
        </w:tc>
      </w:tr>
    </w:tbl>
    <w:p w:rsidRPr="009D13BA" w:rsidR="00D214E8" w:rsidP="00D97D31" w:rsidRDefault="00D214E8" w14:paraId="7968A2A8" w14:textId="77777777">
      <w:pPr>
        <w:spacing w:after="0"/>
        <w:ind w:left="-426"/>
        <w:jc w:val="center"/>
        <w:rPr>
          <w:rFonts w:ascii="Calibri" w:hAnsi="Calibri" w:cs="Calibri"/>
        </w:rPr>
      </w:pPr>
      <w:r w:rsidRPr="009D13BA">
        <w:rPr>
          <w:b/>
          <w:bCs/>
          <w:i/>
          <w:iCs/>
          <w:sz w:val="18"/>
          <w:szCs w:val="18"/>
        </w:rPr>
        <w:t xml:space="preserve">Fuente: </w:t>
      </w:r>
      <w:r w:rsidRPr="009D13BA">
        <w:rPr>
          <w:sz w:val="18"/>
          <w:szCs w:val="18"/>
        </w:rPr>
        <w:t xml:space="preserve">PIIP – Meta de los proyectos de inversión </w:t>
      </w:r>
      <w:proofErr w:type="spellStart"/>
      <w:r w:rsidRPr="009D13BA">
        <w:rPr>
          <w:sz w:val="18"/>
          <w:szCs w:val="18"/>
        </w:rPr>
        <w:t>contracreditos</w:t>
      </w:r>
      <w:proofErr w:type="spellEnd"/>
    </w:p>
    <w:p w:rsidRPr="00820A8E" w:rsidR="00820A8E" w:rsidP="00D97D31" w:rsidRDefault="00820A8E" w14:paraId="5291ECE2" w14:textId="77777777">
      <w:pPr>
        <w:spacing w:after="0"/>
        <w:ind w:left="360"/>
        <w:jc w:val="both"/>
      </w:pPr>
    </w:p>
    <w:p w:rsidRPr="00245E8C" w:rsidR="00E95D0F" w:rsidP="00D97D31" w:rsidRDefault="00EF4456" w14:paraId="2FB3E75F" w14:textId="198D7215">
      <w:pPr>
        <w:pStyle w:val="Heading1"/>
        <w:numPr>
          <w:ilvl w:val="0"/>
          <w:numId w:val="11"/>
        </w:numPr>
      </w:pPr>
      <w:bookmarkStart w:name="_Toc230792114" w:id="9"/>
      <w:r w:rsidRPr="00245E8C">
        <w:t>PROYECTO</w:t>
      </w:r>
      <w:r w:rsidRPr="00245E8C" w:rsidR="001944B9">
        <w:t xml:space="preserve"> DE INVERSIÓN</w:t>
      </w:r>
      <w:r w:rsidRPr="00245E8C" w:rsidR="001B6B2C">
        <w:t xml:space="preserve"> </w:t>
      </w:r>
      <w:r w:rsidRPr="6DB21E0E" w:rsidR="3C874D09">
        <w:t>A</w:t>
      </w:r>
      <w:r w:rsidRPr="6DB21E0E" w:rsidR="001B6B2C">
        <w:t>CREDITADO</w:t>
      </w:r>
      <w:r w:rsidRPr="00245E8C" w:rsidR="001B6B2C">
        <w:t>:</w:t>
      </w:r>
      <w:bookmarkEnd w:id="9"/>
      <w:r w:rsidRPr="00245E8C" w:rsidR="001B6B2C">
        <w:t xml:space="preserve"> </w:t>
      </w:r>
    </w:p>
    <w:p w:rsidRPr="00D22C82" w:rsidR="00E95D0F" w:rsidP="00D97D31" w:rsidRDefault="00E95D0F" w14:paraId="6BAEAC87" w14:textId="77777777">
      <w:pPr>
        <w:pStyle w:val="ListParagraph"/>
        <w:spacing w:after="0" w:line="276" w:lineRule="auto"/>
        <w:jc w:val="both"/>
        <w:rPr>
          <w:rFonts w:ascii="Calibri" w:hAnsi="Calibri" w:cs="Calibri"/>
          <w:b/>
          <w:bCs/>
        </w:rPr>
      </w:pPr>
    </w:p>
    <w:p w:rsidRPr="00344B62" w:rsidR="5D2FBC1F" w:rsidP="00D97D31" w:rsidRDefault="5D2FBC1F" w14:paraId="34F6CEBF" w14:textId="267F581B">
      <w:pPr>
        <w:pStyle w:val="Heading2"/>
        <w:numPr>
          <w:ilvl w:val="1"/>
          <w:numId w:val="11"/>
        </w:numPr>
      </w:pPr>
      <w:bookmarkStart w:name="_Toc230792115" w:id="10"/>
      <w:r w:rsidRPr="00344B62">
        <w:t>Ampliación de la cobertura y normalización de redes en la prestación del servicio de energía eléctrica en el territorio nacional</w:t>
      </w:r>
      <w:bookmarkEnd w:id="10"/>
    </w:p>
    <w:p w:rsidRPr="00344B62" w:rsidR="0016024F" w:rsidP="00D97D31" w:rsidRDefault="0016024F" w14:paraId="23FFD571" w14:textId="77777777">
      <w:pPr>
        <w:spacing w:after="0"/>
        <w:jc w:val="both"/>
        <w:rPr>
          <w:rFonts w:ascii="Calibri" w:hAnsi="Calibri" w:cs="Calibri"/>
          <w:b/>
          <w:bCs/>
        </w:rPr>
      </w:pPr>
    </w:p>
    <w:p w:rsidRPr="003E1C52" w:rsidR="003E1C52" w:rsidP="00D97D31" w:rsidRDefault="003E1C52" w14:paraId="4B420940" w14:textId="55D4EA5F">
      <w:pPr>
        <w:spacing w:after="0"/>
        <w:jc w:val="both"/>
        <w:rPr>
          <w:rFonts w:ascii="Calibri" w:hAnsi="Calibri" w:cs="Calibri"/>
        </w:rPr>
      </w:pPr>
      <w:r w:rsidRPr="00344B62">
        <w:rPr>
          <w:rFonts w:ascii="Calibri" w:hAnsi="Calibri" w:cs="Calibri"/>
        </w:rPr>
        <w:t xml:space="preserve">El proyecto de inversión desde el cual se </w:t>
      </w:r>
      <w:r w:rsidRPr="00344B62" w:rsidR="002A4C8D">
        <w:rPr>
          <w:rFonts w:ascii="Calibri" w:hAnsi="Calibri" w:cs="Calibri"/>
        </w:rPr>
        <w:t>a</w:t>
      </w:r>
      <w:r w:rsidRPr="00344B62">
        <w:rPr>
          <w:rFonts w:ascii="Calibri" w:hAnsi="Calibri" w:cs="Calibri"/>
        </w:rPr>
        <w:t>creditan los recursos, denominado “</w:t>
      </w:r>
      <w:r w:rsidRPr="00344B62" w:rsidR="3FBEFF6C">
        <w:rPr>
          <w:rFonts w:ascii="Calibri" w:hAnsi="Calibri" w:cs="Calibri"/>
        </w:rPr>
        <w:t>Ampliación</w:t>
      </w:r>
      <w:r w:rsidRPr="00344B62">
        <w:rPr>
          <w:rFonts w:ascii="Calibri" w:hAnsi="Calibri" w:cs="Calibri"/>
        </w:rPr>
        <w:t xml:space="preserve"> de </w:t>
      </w:r>
      <w:r w:rsidRPr="00344B62" w:rsidR="3FBEFF6C">
        <w:rPr>
          <w:rFonts w:ascii="Calibri" w:hAnsi="Calibri" w:cs="Calibri"/>
        </w:rPr>
        <w:t>la cobertura y normalización</w:t>
      </w:r>
      <w:r w:rsidRPr="00344B62">
        <w:rPr>
          <w:rFonts w:ascii="Calibri" w:hAnsi="Calibri" w:cs="Calibri"/>
        </w:rPr>
        <w:t xml:space="preserve"> de </w:t>
      </w:r>
      <w:r w:rsidRPr="00344B62" w:rsidR="3FBEFF6C">
        <w:rPr>
          <w:rFonts w:ascii="Calibri" w:hAnsi="Calibri" w:cs="Calibri"/>
        </w:rPr>
        <w:t>redes</w:t>
      </w:r>
      <w:r w:rsidRPr="00344B62">
        <w:rPr>
          <w:rFonts w:ascii="Calibri" w:hAnsi="Calibri" w:cs="Calibri"/>
        </w:rPr>
        <w:t xml:space="preserve"> en </w:t>
      </w:r>
      <w:r w:rsidRPr="00344B62" w:rsidR="3FBEFF6C">
        <w:rPr>
          <w:rFonts w:ascii="Calibri" w:hAnsi="Calibri" w:cs="Calibri"/>
        </w:rPr>
        <w:t>la prestación del servicio</w:t>
      </w:r>
      <w:r w:rsidRPr="00344B62">
        <w:rPr>
          <w:rFonts w:ascii="Calibri" w:hAnsi="Calibri" w:cs="Calibri"/>
        </w:rPr>
        <w:t xml:space="preserve"> de </w:t>
      </w:r>
      <w:r w:rsidRPr="00344B62" w:rsidR="3FBEFF6C">
        <w:rPr>
          <w:rFonts w:ascii="Calibri" w:hAnsi="Calibri" w:cs="Calibri"/>
        </w:rPr>
        <w:t>energía eléctrica en el territorio nacional</w:t>
      </w:r>
      <w:r w:rsidRPr="00344B62">
        <w:rPr>
          <w:rFonts w:ascii="Calibri" w:hAnsi="Calibri" w:cs="Calibri"/>
        </w:rPr>
        <w:t>”</w:t>
      </w:r>
      <w:r w:rsidRPr="00344B62" w:rsidR="00344B62">
        <w:rPr>
          <w:rFonts w:ascii="Calibri" w:hAnsi="Calibri" w:cs="Calibri"/>
        </w:rPr>
        <w:t xml:space="preserve"> identificado con BPIN 202600000013949</w:t>
      </w:r>
      <w:r w:rsidRPr="00344B62">
        <w:rPr>
          <w:rFonts w:ascii="Calibri" w:hAnsi="Calibri" w:cs="Calibri"/>
        </w:rPr>
        <w:t>, tiene un horizonte de ejecución 2026–20</w:t>
      </w:r>
      <w:r w:rsidRPr="00344B62" w:rsidR="5A40E8E3">
        <w:rPr>
          <w:rFonts w:ascii="Calibri" w:hAnsi="Calibri" w:cs="Calibri"/>
        </w:rPr>
        <w:t>30</w:t>
      </w:r>
      <w:r w:rsidRPr="00344B62">
        <w:rPr>
          <w:rFonts w:ascii="Calibri" w:hAnsi="Calibri" w:cs="Calibri"/>
        </w:rPr>
        <w:t xml:space="preserve">. </w:t>
      </w:r>
      <w:r w:rsidRPr="00344B62" w:rsidR="40E4C8AB">
        <w:rPr>
          <w:rFonts w:ascii="Calibri" w:hAnsi="Calibri" w:cs="Calibri"/>
        </w:rPr>
        <w:t>Su objetivo general</w:t>
      </w:r>
      <w:r w:rsidRPr="777EF2A7" w:rsidR="40E4C8AB">
        <w:rPr>
          <w:rFonts w:ascii="Calibri" w:hAnsi="Calibri" w:cs="Calibri"/>
        </w:rPr>
        <w:t xml:space="preserve"> consiste en </w:t>
      </w:r>
      <w:r w:rsidRPr="777EF2A7" w:rsidR="0B58BB73">
        <w:rPr>
          <w:rFonts w:ascii="Calibri" w:hAnsi="Calibri" w:cs="Calibri"/>
        </w:rPr>
        <w:t xml:space="preserve">aumentar la cobertura y normalización de redes en la prestación del servicio de energía eléctrica en el territorio nacional.  </w:t>
      </w:r>
    </w:p>
    <w:p w:rsidRPr="003E1C52" w:rsidR="003E1C52" w:rsidP="00D97D31" w:rsidRDefault="003E1C52" w14:paraId="3F69A6E1" w14:textId="77777777">
      <w:pPr>
        <w:spacing w:after="0"/>
        <w:jc w:val="both"/>
        <w:rPr>
          <w:rFonts w:ascii="Calibri" w:hAnsi="Calibri" w:cs="Calibri"/>
        </w:rPr>
      </w:pPr>
    </w:p>
    <w:p w:rsidRPr="003E1C52" w:rsidR="003E1C52" w:rsidP="00D97D31" w:rsidRDefault="003E1C52" w14:paraId="261DCBA8" w14:textId="61975D32">
      <w:pPr>
        <w:spacing w:after="0"/>
        <w:jc w:val="both"/>
        <w:rPr>
          <w:rFonts w:ascii="Calibri" w:hAnsi="Calibri" w:cs="Calibri"/>
        </w:rPr>
      </w:pPr>
      <w:r w:rsidRPr="003E1C52">
        <w:rPr>
          <w:rFonts w:ascii="Calibri" w:hAnsi="Calibri" w:cs="Calibri"/>
        </w:rPr>
        <w:t xml:space="preserve">En el país, la </w:t>
      </w:r>
      <w:r w:rsidRPr="31C33DF7" w:rsidR="3D5F2C31">
        <w:rPr>
          <w:rFonts w:ascii="Calibri" w:hAnsi="Calibri" w:cs="Calibri"/>
        </w:rPr>
        <w:t xml:space="preserve">energía </w:t>
      </w:r>
      <w:r w:rsidRPr="170C746B" w:rsidR="3D5F2C31">
        <w:rPr>
          <w:rFonts w:ascii="Calibri" w:hAnsi="Calibri" w:cs="Calibri"/>
        </w:rPr>
        <w:t>el</w:t>
      </w:r>
      <w:r w:rsidRPr="170C746B" w:rsidR="4526E674">
        <w:rPr>
          <w:rFonts w:ascii="Calibri" w:hAnsi="Calibri" w:cs="Calibri"/>
        </w:rPr>
        <w:t>éctrica</w:t>
      </w:r>
      <w:r w:rsidRPr="003E1C52">
        <w:rPr>
          <w:rFonts w:ascii="Calibri" w:hAnsi="Calibri" w:cs="Calibri"/>
        </w:rPr>
        <w:t xml:space="preserve"> ha sido históricamente uno de los principales </w:t>
      </w:r>
      <w:r w:rsidRPr="02C3AE81" w:rsidR="111B9D0B">
        <w:rPr>
          <w:rFonts w:ascii="Calibri" w:hAnsi="Calibri" w:cs="Calibri"/>
        </w:rPr>
        <w:t xml:space="preserve">servicios </w:t>
      </w:r>
      <w:r w:rsidRPr="6DB21E0E" w:rsidR="1E8CC74E">
        <w:rPr>
          <w:rFonts w:ascii="Calibri" w:hAnsi="Calibri" w:cs="Calibri"/>
        </w:rPr>
        <w:t>públicos</w:t>
      </w:r>
      <w:r w:rsidRPr="02C3AE81" w:rsidR="111B9D0B">
        <w:rPr>
          <w:rFonts w:ascii="Calibri" w:hAnsi="Calibri" w:cs="Calibri"/>
        </w:rPr>
        <w:t xml:space="preserve"> domiciliarios requeridos</w:t>
      </w:r>
      <w:r w:rsidRPr="003E1C52">
        <w:rPr>
          <w:rFonts w:ascii="Calibri" w:hAnsi="Calibri" w:cs="Calibri"/>
        </w:rPr>
        <w:t xml:space="preserve"> para </w:t>
      </w:r>
      <w:r w:rsidRPr="02C3AE81" w:rsidR="111B9D0B">
        <w:rPr>
          <w:rFonts w:ascii="Calibri" w:hAnsi="Calibri" w:cs="Calibri"/>
        </w:rPr>
        <w:t xml:space="preserve">mejorar la calidad de vida de las personas. </w:t>
      </w:r>
      <w:r w:rsidRPr="6BEB214D" w:rsidR="111B9D0B">
        <w:rPr>
          <w:rFonts w:ascii="Calibri" w:hAnsi="Calibri" w:cs="Calibri"/>
        </w:rPr>
        <w:t xml:space="preserve">Desde 1994 </w:t>
      </w:r>
      <w:r w:rsidRPr="6BEB214D">
        <w:rPr>
          <w:rFonts w:ascii="Calibri" w:hAnsi="Calibri" w:cs="Calibri"/>
        </w:rPr>
        <w:t xml:space="preserve">el Gobierno Nacional </w:t>
      </w:r>
      <w:r w:rsidRPr="6BEB214D" w:rsidR="4C0E165C">
        <w:rPr>
          <w:rFonts w:ascii="Calibri" w:hAnsi="Calibri" w:cs="Calibri"/>
        </w:rPr>
        <w:t xml:space="preserve">lo ha reglamentado y ha intervenido en su prestación. </w:t>
      </w:r>
      <w:r w:rsidRPr="783C1EB8" w:rsidR="4C0E165C">
        <w:rPr>
          <w:rFonts w:ascii="Calibri" w:hAnsi="Calibri" w:cs="Calibri"/>
        </w:rPr>
        <w:t>Conforme a esto</w:t>
      </w:r>
      <w:r w:rsidR="00396A47">
        <w:rPr>
          <w:rFonts w:ascii="Calibri" w:hAnsi="Calibri" w:cs="Calibri"/>
        </w:rPr>
        <w:t>,</w:t>
      </w:r>
      <w:r w:rsidRPr="003E1C52">
        <w:rPr>
          <w:rFonts w:ascii="Calibri" w:hAnsi="Calibri" w:cs="Calibri"/>
        </w:rPr>
        <w:t xml:space="preserve"> a través del Ministerio de Minas y Energía</w:t>
      </w:r>
      <w:r w:rsidR="00396A47">
        <w:rPr>
          <w:rFonts w:ascii="Calibri" w:hAnsi="Calibri" w:cs="Calibri"/>
        </w:rPr>
        <w:t>,</w:t>
      </w:r>
      <w:r w:rsidRPr="003E1C52">
        <w:rPr>
          <w:rFonts w:ascii="Calibri" w:hAnsi="Calibri" w:cs="Calibri"/>
        </w:rPr>
        <w:t xml:space="preserve"> ha formulado </w:t>
      </w:r>
      <w:r w:rsidRPr="783C1EB8" w:rsidR="4EB4B77F">
        <w:rPr>
          <w:rFonts w:ascii="Calibri" w:hAnsi="Calibri" w:cs="Calibri"/>
        </w:rPr>
        <w:t>estrategias</w:t>
      </w:r>
      <w:r w:rsidRPr="003E1C52">
        <w:rPr>
          <w:rFonts w:ascii="Calibri" w:hAnsi="Calibri" w:cs="Calibri"/>
        </w:rPr>
        <w:t xml:space="preserve"> para ampliar el acceso a </w:t>
      </w:r>
      <w:r w:rsidRPr="783C1EB8" w:rsidR="47008BD5">
        <w:rPr>
          <w:rFonts w:ascii="Calibri" w:hAnsi="Calibri" w:cs="Calibri"/>
        </w:rPr>
        <w:t xml:space="preserve">la energía y adecuar </w:t>
      </w:r>
      <w:r w:rsidRPr="170C746B" w:rsidR="47008BD5">
        <w:rPr>
          <w:rFonts w:ascii="Calibri" w:hAnsi="Calibri" w:cs="Calibri"/>
        </w:rPr>
        <w:t xml:space="preserve">las redes a los reglamentos </w:t>
      </w:r>
      <w:r w:rsidRPr="170C746B" w:rsidR="32600851">
        <w:rPr>
          <w:rFonts w:ascii="Calibri" w:hAnsi="Calibri" w:cs="Calibri"/>
        </w:rPr>
        <w:t>técnicos</w:t>
      </w:r>
      <w:r w:rsidRPr="170C746B" w:rsidR="47008BD5">
        <w:rPr>
          <w:rFonts w:ascii="Calibri" w:hAnsi="Calibri" w:cs="Calibri"/>
        </w:rPr>
        <w:t xml:space="preserve"> vigentes </w:t>
      </w:r>
      <w:r w:rsidRPr="170C746B" w:rsidR="2B7C2F86">
        <w:rPr>
          <w:rFonts w:ascii="Calibri" w:hAnsi="Calibri" w:cs="Calibri"/>
        </w:rPr>
        <w:t>en aras</w:t>
      </w:r>
      <w:r w:rsidRPr="170C746B" w:rsidR="47008BD5">
        <w:rPr>
          <w:rFonts w:ascii="Calibri" w:hAnsi="Calibri" w:cs="Calibri"/>
        </w:rPr>
        <w:t xml:space="preserve"> </w:t>
      </w:r>
      <w:r w:rsidRPr="170C746B" w:rsidR="2B7C2F86">
        <w:rPr>
          <w:rFonts w:ascii="Calibri" w:hAnsi="Calibri" w:cs="Calibri"/>
        </w:rPr>
        <w:t xml:space="preserve">de garantizar </w:t>
      </w:r>
      <w:r w:rsidRPr="4A8287AC" w:rsidR="0B8A446E">
        <w:rPr>
          <w:rFonts w:ascii="Calibri" w:hAnsi="Calibri" w:cs="Calibri"/>
        </w:rPr>
        <w:t>los</w:t>
      </w:r>
      <w:r w:rsidRPr="1FEE0671" w:rsidR="0B8A446E">
        <w:rPr>
          <w:rFonts w:ascii="Calibri" w:hAnsi="Calibri" w:cs="Calibri"/>
        </w:rPr>
        <w:t xml:space="preserve"> recursos suficientes en </w:t>
      </w:r>
      <w:r w:rsidRPr="4A8287AC" w:rsidR="0B8A446E">
        <w:rPr>
          <w:rFonts w:ascii="Calibri" w:hAnsi="Calibri" w:cs="Calibri"/>
        </w:rPr>
        <w:t>los</w:t>
      </w:r>
      <w:r w:rsidRPr="1FEE0671" w:rsidR="0B8A446E">
        <w:rPr>
          <w:rFonts w:ascii="Calibri" w:hAnsi="Calibri" w:cs="Calibri"/>
        </w:rPr>
        <w:t xml:space="preserve"> PND con el objetivo </w:t>
      </w:r>
      <w:r w:rsidRPr="4A8287AC" w:rsidR="0B8A446E">
        <w:rPr>
          <w:rFonts w:ascii="Calibri" w:hAnsi="Calibri" w:cs="Calibri"/>
        </w:rPr>
        <w:t>para</w:t>
      </w:r>
      <w:r w:rsidRPr="1FEE0671" w:rsidR="0B8A446E">
        <w:rPr>
          <w:rFonts w:ascii="Calibri" w:hAnsi="Calibri" w:cs="Calibri"/>
        </w:rPr>
        <w:t xml:space="preserve"> adelantar programas de energización prioritarios que permitan alcanzar niveles igualitarios de cobertura en todo el país</w:t>
      </w:r>
      <w:r w:rsidRPr="36C308A2" w:rsidR="0B8A446E">
        <w:rPr>
          <w:rFonts w:ascii="Calibri" w:hAnsi="Calibri" w:cs="Calibri"/>
        </w:rPr>
        <w:t xml:space="preserve"> y desarrollar</w:t>
      </w:r>
      <w:r w:rsidRPr="1FEE0671" w:rsidR="0B8A446E">
        <w:rPr>
          <w:rFonts w:ascii="Calibri" w:hAnsi="Calibri" w:cs="Calibri"/>
        </w:rPr>
        <w:t xml:space="preserve"> actividades en el sector eléctrico</w:t>
      </w:r>
      <w:r w:rsidRPr="36C308A2" w:rsidR="0B8A446E">
        <w:rPr>
          <w:rFonts w:ascii="Calibri" w:hAnsi="Calibri" w:cs="Calibri"/>
        </w:rPr>
        <w:t xml:space="preserve"> al</w:t>
      </w:r>
      <w:r w:rsidRPr="36C308A2" w:rsidR="4BDFC7C9">
        <w:rPr>
          <w:rFonts w:ascii="Calibri" w:hAnsi="Calibri" w:cs="Calibri"/>
        </w:rPr>
        <w:t>ineadas al</w:t>
      </w:r>
      <w:r w:rsidRPr="1FEE0671" w:rsidR="0B8A446E">
        <w:rPr>
          <w:rFonts w:ascii="Calibri" w:hAnsi="Calibri" w:cs="Calibri"/>
        </w:rPr>
        <w:t xml:space="preserve"> ahorro, conservación y uso eficiente de la energía</w:t>
      </w:r>
    </w:p>
    <w:p w:rsidRPr="003E1C52" w:rsidR="003E1C52" w:rsidP="00D97D31" w:rsidRDefault="003E1C52" w14:paraId="4173AB0B" w14:textId="5B88E382">
      <w:pPr>
        <w:spacing w:after="0"/>
        <w:jc w:val="both"/>
        <w:rPr>
          <w:rFonts w:ascii="Calibri" w:hAnsi="Calibri" w:cs="Calibri"/>
        </w:rPr>
      </w:pPr>
    </w:p>
    <w:p w:rsidR="5F5A5D1E" w:rsidP="00D97D31" w:rsidRDefault="5F5A5D1E" w14:paraId="28099BDF" w14:textId="669251F9">
      <w:pPr>
        <w:spacing w:after="0"/>
        <w:jc w:val="both"/>
        <w:rPr>
          <w:rFonts w:ascii="Calibri" w:hAnsi="Calibri" w:cs="Calibri"/>
        </w:rPr>
      </w:pPr>
      <w:r w:rsidRPr="5DD508B0">
        <w:rPr>
          <w:rFonts w:ascii="Calibri" w:hAnsi="Calibri" w:cs="Calibri"/>
        </w:rPr>
        <w:t>En 2023, el</w:t>
      </w:r>
      <w:r w:rsidRPr="2BF41BE0">
        <w:rPr>
          <w:rFonts w:ascii="Calibri" w:hAnsi="Calibri" w:cs="Calibri"/>
        </w:rPr>
        <w:t xml:space="preserve"> Índice de Cobertura de Energía Eléctrica (ICEE) nacional total se situó en 92.705%. Este índice evidencia que un total de 1.326.971 viviendas en el país carecen del servicio de energía eléctrica. La brecha en la cobertura se acentúa en el ámbito rural, donde el ICEE es considerablemente más bajo (73.619%), concentrando la mayor parte del déficit con 1.225.381 Viviendas Sin Servicio (VSS). Por otro lado, la cobertura en el ámbito urbano alcanzó el 98.968%, con un registro de 146.013 VSS.</w:t>
      </w:r>
    </w:p>
    <w:p w:rsidR="36666EB9" w:rsidP="00D97D31" w:rsidRDefault="36666EB9" w14:paraId="785E27ED" w14:textId="0E42BBD7">
      <w:pPr>
        <w:spacing w:after="0"/>
        <w:jc w:val="both"/>
        <w:rPr>
          <w:rFonts w:ascii="Calibri" w:hAnsi="Calibri" w:cs="Calibri"/>
        </w:rPr>
      </w:pPr>
    </w:p>
    <w:p w:rsidR="5F5A5D1E" w:rsidP="00D97D31" w:rsidRDefault="5F5A5D1E" w14:paraId="38008BCB" w14:textId="2A26D7C9">
      <w:pPr>
        <w:spacing w:after="0"/>
        <w:jc w:val="both"/>
        <w:rPr>
          <w:rFonts w:ascii="Calibri" w:hAnsi="Calibri" w:cs="Calibri"/>
        </w:rPr>
      </w:pPr>
      <w:r w:rsidRPr="36666EB9">
        <w:rPr>
          <w:rFonts w:ascii="Calibri" w:hAnsi="Calibri" w:cs="Calibri"/>
        </w:rPr>
        <w:t xml:space="preserve">Así mismo, la </w:t>
      </w:r>
      <w:r w:rsidRPr="74CB808B">
        <w:rPr>
          <w:rFonts w:ascii="Calibri" w:hAnsi="Calibri" w:cs="Calibri"/>
        </w:rPr>
        <w:t>subnormalidad</w:t>
      </w:r>
      <w:r w:rsidRPr="36666EB9">
        <w:rPr>
          <w:rFonts w:ascii="Calibri" w:hAnsi="Calibri" w:cs="Calibri"/>
        </w:rPr>
        <w:t xml:space="preserve"> </w:t>
      </w:r>
      <w:r w:rsidRPr="5B452066" w:rsidR="558FD1E9">
        <w:rPr>
          <w:rFonts w:ascii="Calibri" w:hAnsi="Calibri" w:cs="Calibri"/>
        </w:rPr>
        <w:t xml:space="preserve">es un </w:t>
      </w:r>
      <w:r w:rsidRPr="71A85D3B" w:rsidR="558FD1E9">
        <w:rPr>
          <w:rFonts w:ascii="Calibri" w:hAnsi="Calibri" w:cs="Calibri"/>
        </w:rPr>
        <w:t>fenómeno</w:t>
      </w:r>
      <w:r w:rsidRPr="5B452066" w:rsidR="558FD1E9">
        <w:rPr>
          <w:rFonts w:ascii="Calibri" w:hAnsi="Calibri" w:cs="Calibri"/>
        </w:rPr>
        <w:t xml:space="preserve"> que lleva más de 20 </w:t>
      </w:r>
      <w:r w:rsidRPr="71A85D3B" w:rsidR="558FD1E9">
        <w:rPr>
          <w:rFonts w:ascii="Calibri" w:hAnsi="Calibri" w:cs="Calibri"/>
        </w:rPr>
        <w:t xml:space="preserve">años; </w:t>
      </w:r>
      <w:r w:rsidRPr="71A85D3B">
        <w:rPr>
          <w:rFonts w:ascii="Calibri" w:hAnsi="Calibri" w:cs="Calibri"/>
        </w:rPr>
        <w:t>para</w:t>
      </w:r>
      <w:r w:rsidRPr="74CB808B">
        <w:rPr>
          <w:rFonts w:ascii="Calibri" w:hAnsi="Calibri" w:cs="Calibri"/>
        </w:rPr>
        <w:t xml:space="preserve"> 2025 </w:t>
      </w:r>
      <w:r w:rsidRPr="4ADCE9FE">
        <w:rPr>
          <w:rFonts w:ascii="Calibri" w:hAnsi="Calibri" w:cs="Calibri"/>
        </w:rPr>
        <w:t>se identificaron 263.535 usuarios sin normalizar en el Sistema Interconectado Nacional, certificados por la respectiva entidad territorial</w:t>
      </w:r>
      <w:r w:rsidRPr="74CB808B">
        <w:rPr>
          <w:rFonts w:ascii="Calibri" w:hAnsi="Calibri" w:cs="Calibri"/>
        </w:rPr>
        <w:t xml:space="preserve">, </w:t>
      </w:r>
      <w:r w:rsidRPr="71A85D3B" w:rsidR="17A55C28">
        <w:rPr>
          <w:rFonts w:ascii="Calibri" w:hAnsi="Calibri" w:cs="Calibri"/>
        </w:rPr>
        <w:t>y establecidos en su gran mayoría</w:t>
      </w:r>
      <w:r w:rsidRPr="4ADCE9FE">
        <w:rPr>
          <w:rFonts w:ascii="Calibri" w:hAnsi="Calibri" w:cs="Calibri"/>
        </w:rPr>
        <w:t xml:space="preserve"> </w:t>
      </w:r>
      <w:r w:rsidRPr="108A1610" w:rsidR="634EB7E4">
        <w:rPr>
          <w:rFonts w:ascii="Calibri" w:hAnsi="Calibri" w:cs="Calibri"/>
        </w:rPr>
        <w:t xml:space="preserve">entre el año 2000 y 2010. </w:t>
      </w:r>
      <w:r w:rsidRPr="3B544D05">
        <w:rPr>
          <w:rFonts w:ascii="Calibri" w:hAnsi="Calibri" w:cs="Calibri"/>
        </w:rPr>
        <w:t>Est</w:t>
      </w:r>
      <w:r w:rsidRPr="3B544D05" w:rsidR="4F782AE9">
        <w:rPr>
          <w:rFonts w:ascii="Calibri" w:hAnsi="Calibri" w:cs="Calibri"/>
        </w:rPr>
        <w:t>o</w:t>
      </w:r>
      <w:r w:rsidRPr="4ADCE9FE">
        <w:rPr>
          <w:rFonts w:ascii="Calibri" w:hAnsi="Calibri" w:cs="Calibri"/>
        </w:rPr>
        <w:t xml:space="preserve"> evidencia la existencia de conexiones informales o condiciones técnicas inadecuadas que afectan la calidad, seguridad y sostenibilidad del servicio.  </w:t>
      </w:r>
    </w:p>
    <w:p w:rsidR="2BF41BE0" w:rsidP="00D97D31" w:rsidRDefault="2BF41BE0" w14:paraId="787833E3" w14:textId="34802994">
      <w:pPr>
        <w:spacing w:after="0"/>
        <w:jc w:val="both"/>
        <w:rPr>
          <w:rFonts w:ascii="Calibri" w:hAnsi="Calibri" w:cs="Calibri"/>
        </w:rPr>
      </w:pPr>
    </w:p>
    <w:p w:rsidR="69B05448" w:rsidP="00D97D31" w:rsidRDefault="7ED16BD2" w14:paraId="5AEAFCFD" w14:textId="42716168">
      <w:pPr>
        <w:spacing w:after="0"/>
        <w:jc w:val="both"/>
        <w:rPr>
          <w:rFonts w:ascii="Calibri" w:hAnsi="Calibri" w:cs="Calibri"/>
        </w:rPr>
      </w:pPr>
      <w:r w:rsidRPr="73C4B425">
        <w:rPr>
          <w:rFonts w:ascii="Calibri" w:hAnsi="Calibri" w:cs="Calibri"/>
        </w:rPr>
        <w:t>E</w:t>
      </w:r>
      <w:r w:rsidRPr="73C4B425" w:rsidR="322FE105">
        <w:rPr>
          <w:rFonts w:ascii="Calibri" w:hAnsi="Calibri" w:cs="Calibri"/>
        </w:rPr>
        <w:t>l Plan Nacional de Desarrollo (Ley 2294 de 2023) redefine la estrategia sectorial a través de la Transición Energética Justa, orientando los recursos hacia la universalización del servicio con un enfoque de equidad territorial.</w:t>
      </w:r>
      <w:r w:rsidRPr="73C4B425" w:rsidR="7CE54E76">
        <w:rPr>
          <w:rFonts w:ascii="Calibri" w:hAnsi="Calibri" w:cs="Calibri"/>
        </w:rPr>
        <w:t xml:space="preserve"> S</w:t>
      </w:r>
      <w:r w:rsidRPr="73C4B425" w:rsidR="7801A1AF">
        <w:rPr>
          <w:rFonts w:ascii="Calibri" w:hAnsi="Calibri" w:cs="Calibri"/>
        </w:rPr>
        <w:t xml:space="preserve">e consolida como el eje estratégico para alcanzar la universalización del servicio energético en Colombia, centrando sus esfuerzos en la expansión de cobertura, la normalización de redes y la mejora de la calidad del servicio. Lo que se busca lograr es una atención integral que no solo lleve energía a las 1.225.381 viviendas hoy desatendidas, sino que garantice la sostenibilidad de estas soluciones mediante la inversión en acometidas internas y el impulso decidido a la transición energética a través de Fuentes No Convencionales de Energía (FNCE). El objetivo primordial de unificar los fondos en esta estructura única es eliminar la dispersión de recursos y esfuerzos, permitiendo una coordinación y focalización mucho más eficiente que articule diversas fuentes de financiamiento bajo una gerencia estratégica capaz de responder a emergencias en Zonas No Interconectadas y </w:t>
      </w:r>
      <w:r w:rsidRPr="73C4B425" w:rsidR="53487261">
        <w:rPr>
          <w:rFonts w:ascii="Calibri" w:hAnsi="Calibri" w:cs="Calibri"/>
        </w:rPr>
        <w:t xml:space="preserve">rurales, </w:t>
      </w:r>
      <w:r w:rsidRPr="73C4B425" w:rsidR="7801A1AF">
        <w:rPr>
          <w:rFonts w:ascii="Calibri" w:hAnsi="Calibri" w:cs="Calibri"/>
        </w:rPr>
        <w:t>de agilizar el flujo de capital hacia proyectos de alto impacto social y ambiental, asegurando que cada peso invertido contribuya directamente a transformar a Colombia en una potencia mundial de la vida.</w:t>
      </w:r>
    </w:p>
    <w:p w:rsidR="00E071C8" w:rsidP="00D97D31" w:rsidRDefault="00E071C8" w14:paraId="3628DC2B" w14:textId="77777777">
      <w:pPr>
        <w:spacing w:after="0"/>
        <w:jc w:val="both"/>
        <w:rPr>
          <w:rFonts w:ascii="Calibri" w:hAnsi="Calibri" w:cs="Calibri"/>
        </w:rPr>
      </w:pPr>
    </w:p>
    <w:p w:rsidR="00E071C8" w:rsidP="00D97D31" w:rsidRDefault="00E071C8" w14:paraId="5D740349" w14:textId="3CD7FA83">
      <w:pPr>
        <w:spacing w:after="0"/>
        <w:jc w:val="both"/>
        <w:rPr>
          <w:rFonts w:ascii="Calibri" w:hAnsi="Calibri" w:cs="Calibri"/>
        </w:rPr>
      </w:pPr>
      <w:r w:rsidRPr="003E1C52">
        <w:rPr>
          <w:rFonts w:ascii="Calibri" w:hAnsi="Calibri" w:cs="Calibri"/>
        </w:rPr>
        <w:t xml:space="preserve">El proyecto contempla </w:t>
      </w:r>
      <w:r w:rsidRPr="598B81CF" w:rsidR="320CC915">
        <w:rPr>
          <w:rFonts w:ascii="Calibri" w:hAnsi="Calibri" w:cs="Calibri"/>
        </w:rPr>
        <w:t>tre</w:t>
      </w:r>
      <w:r w:rsidRPr="598B81CF">
        <w:rPr>
          <w:rFonts w:ascii="Calibri" w:hAnsi="Calibri" w:cs="Calibri"/>
        </w:rPr>
        <w:t>s</w:t>
      </w:r>
      <w:r w:rsidRPr="003E1C52">
        <w:rPr>
          <w:rFonts w:ascii="Calibri" w:hAnsi="Calibri" w:cs="Calibri"/>
        </w:rPr>
        <w:t xml:space="preserve"> componentes para el logro de sus metas:</w:t>
      </w:r>
    </w:p>
    <w:p w:rsidR="00E071C8" w:rsidP="00D97D31" w:rsidRDefault="00E071C8" w14:paraId="46AEF3F1" w14:textId="77777777">
      <w:pPr>
        <w:spacing w:after="0"/>
        <w:jc w:val="both"/>
        <w:rPr>
          <w:rFonts w:ascii="Calibri" w:hAnsi="Calibri" w:cs="Calibri"/>
        </w:rPr>
      </w:pPr>
    </w:p>
    <w:p w:rsidRPr="003E1C52" w:rsidR="00E071C8" w:rsidP="00D97D31" w:rsidRDefault="6A71E820" w14:paraId="40D13805" w14:textId="4A15D7B1">
      <w:pPr>
        <w:pStyle w:val="ListParagraph"/>
        <w:numPr>
          <w:ilvl w:val="0"/>
          <w:numId w:val="19"/>
        </w:numPr>
        <w:spacing w:after="0" w:line="276" w:lineRule="auto"/>
        <w:jc w:val="both"/>
        <w:rPr>
          <w:rFonts w:ascii="Calibri" w:hAnsi="Calibri" w:eastAsia="Calibri" w:cs="Calibri"/>
        </w:rPr>
      </w:pPr>
      <w:r w:rsidRPr="2687ABF3">
        <w:rPr>
          <w:rFonts w:ascii="Calibri" w:hAnsi="Calibri" w:cs="Calibri"/>
        </w:rPr>
        <w:t>Caracterización y Diagnóstico Integral de Proyectos</w:t>
      </w:r>
      <w:r w:rsidRPr="2687ABF3" w:rsidR="36E8DBF0">
        <w:rPr>
          <w:rFonts w:ascii="Calibri" w:hAnsi="Calibri" w:cs="Calibri"/>
        </w:rPr>
        <w:t xml:space="preserve">: </w:t>
      </w:r>
      <w:r w:rsidRPr="2687ABF3" w:rsidR="36E8DBF0">
        <w:rPr>
          <w:rFonts w:ascii="Calibri" w:hAnsi="Calibri" w:eastAsia="Calibri" w:cs="Calibri"/>
        </w:rPr>
        <w:t xml:space="preserve">Consiste en el levantamiento y análisis detallado de la línea base técnica, social y ambiental de las zonas a intervenir. Se identifican las necesidades energéticas reales de la población, se evalúa el estado de la infraestructura existente (si la hay) y se determinan las particularidades del territorio, como la dispersión geográfica y el potencial de recursos renovables locales. Este diagnóstico es el insumo fundamental para garantizar que la solución propuesta sea pertinente para la comunidad. </w:t>
      </w:r>
    </w:p>
    <w:p w:rsidR="7F6FE6D0" w:rsidP="00D97D31" w:rsidRDefault="3EF68570" w14:paraId="4DFBF749" w14:textId="49EB999B">
      <w:pPr>
        <w:pStyle w:val="ListParagraph"/>
        <w:numPr>
          <w:ilvl w:val="0"/>
          <w:numId w:val="19"/>
        </w:numPr>
        <w:spacing w:after="0" w:line="276" w:lineRule="auto"/>
        <w:jc w:val="both"/>
        <w:rPr>
          <w:rFonts w:ascii="Calibri" w:hAnsi="Calibri" w:cs="Calibri"/>
        </w:rPr>
      </w:pPr>
      <w:proofErr w:type="spellStart"/>
      <w:r w:rsidRPr="17C84A27">
        <w:rPr>
          <w:rFonts w:ascii="Calibri" w:hAnsi="Calibri" w:cs="Calibri"/>
        </w:rPr>
        <w:t>Viabilización</w:t>
      </w:r>
      <w:proofErr w:type="spellEnd"/>
      <w:r w:rsidRPr="17C84A27">
        <w:rPr>
          <w:rFonts w:ascii="Calibri" w:hAnsi="Calibri" w:cs="Calibri"/>
        </w:rPr>
        <w:t xml:space="preserve"> y Aseguramiento de la Inversión</w:t>
      </w:r>
      <w:r w:rsidRPr="17C84A27" w:rsidR="2F79AEF4">
        <w:rPr>
          <w:rFonts w:ascii="Calibri" w:hAnsi="Calibri" w:cs="Calibri"/>
        </w:rPr>
        <w:t>: Se refiere al proceso de validación técnica, jurídica y financiera para asegurar que el proyecto cumple con los requisitos normativos y los criterios de FONENERGIA. En esta etapa se gestionan los avales necesarios, se verifica la titularidad de los predios y se asegura que la inversión sea costo-eficiente. El objetivo es minimizar los riesgos de ejecución y garantizar que los recursos públicos se asignen a proyectos que tengan viabilidad de cierre financiero y cumplimiento legal.</w:t>
      </w:r>
    </w:p>
    <w:p w:rsidR="717355FA" w:rsidP="00D97D31" w:rsidRDefault="3EF68570" w14:paraId="5E7E6264" w14:textId="2591501A">
      <w:pPr>
        <w:pStyle w:val="ListParagraph"/>
        <w:numPr>
          <w:ilvl w:val="0"/>
          <w:numId w:val="19"/>
        </w:numPr>
        <w:spacing w:after="0" w:line="276" w:lineRule="auto"/>
        <w:jc w:val="both"/>
        <w:rPr>
          <w:rFonts w:ascii="Calibri" w:hAnsi="Calibri" w:cs="Calibri"/>
        </w:rPr>
      </w:pPr>
      <w:r w:rsidRPr="17C84A27">
        <w:rPr>
          <w:rFonts w:ascii="Calibri" w:hAnsi="Calibri" w:cs="Calibri"/>
        </w:rPr>
        <w:t>Estructuración de Proyectos de Energización</w:t>
      </w:r>
      <w:r w:rsidRPr="17C84A27" w:rsidR="4476FDDC">
        <w:rPr>
          <w:rFonts w:ascii="Calibri" w:hAnsi="Calibri" w:cs="Calibri"/>
        </w:rPr>
        <w:t>: Es la fase de diseño y planeación técnica detallada donde se definen las soluciones de ingeniería específicas, ya sea mediante la extensión de redes o soluciones individuales de autogeneración (como sistemas solares). Incluye la elaboración de presupuestos, cronogramas, análisis de riesgos y la definición del modelo operativo. El resultado es un "proyecto listo" para ser contratado y ejecutado, alineado con las metas de transición energética y cobertura del Gobierno Nacional.</w:t>
      </w:r>
    </w:p>
    <w:p w:rsidR="00E071C8" w:rsidP="00D97D31" w:rsidRDefault="00E071C8" w14:paraId="4E2680D2" w14:textId="590E9236">
      <w:pPr>
        <w:spacing w:after="0"/>
        <w:jc w:val="both"/>
        <w:rPr>
          <w:rFonts w:ascii="Calibri" w:hAnsi="Calibri" w:cs="Calibri"/>
        </w:rPr>
      </w:pPr>
    </w:p>
    <w:p w:rsidR="00B93134" w:rsidP="00D97D31" w:rsidRDefault="6989DF7F" w14:paraId="03EA0993" w14:textId="683D2A40">
      <w:pPr>
        <w:spacing w:after="0"/>
        <w:jc w:val="both"/>
        <w:rPr>
          <w:rFonts w:ascii="Calibri" w:hAnsi="Calibri" w:cs="Calibri"/>
        </w:rPr>
      </w:pPr>
      <w:r w:rsidRPr="73C4B425">
        <w:rPr>
          <w:rFonts w:ascii="Calibri" w:hAnsi="Calibri" w:cs="Calibri"/>
        </w:rPr>
        <w:t>Los objetivos específicos del proyecto se centran en el fortalecimiento de la infraestructura eléctrica nacional mediante la expansión, modernización y optimización de las redes. Esta estrategia busca satisfacer la demanda creciente, incrementar la eficiencia operativa y garantizar un suministro confiable y sostenible, con especial énfasis en zonas rurales, dispersas y vulnerables. Para ello, se canalizan recursos a través de FONENERGÍA</w:t>
      </w:r>
      <w:r w:rsidRPr="73C4B425" w:rsidR="647D76B5">
        <w:rPr>
          <w:rFonts w:ascii="Calibri" w:hAnsi="Calibri" w:cs="Calibri"/>
        </w:rPr>
        <w:t xml:space="preserve">, </w:t>
      </w:r>
      <w:r w:rsidRPr="73C4B425">
        <w:rPr>
          <w:rFonts w:ascii="Calibri" w:hAnsi="Calibri" w:cs="Calibri"/>
        </w:rPr>
        <w:t>que integra los fondos FAZNI, FAER y PRONE, asignándolos a operadores de red y ejecutores que cumplen con la normativa técnica, jurídica y financiera vigente. Bajo este esquema, los operadores asumen la ejecución de obras y la gestión de activos, asegurando la prestación del servicio bajo estándares de calidad regulatorios. Así, estos instrumentos se consolidan como motores para el cierre de brechas históricas, promoviendo la equidad y la sostenibilidad territorial.</w:t>
      </w:r>
    </w:p>
    <w:p w:rsidR="00B93134" w:rsidP="00D97D31" w:rsidRDefault="00B93134" w14:paraId="70389A35" w14:textId="28570AC7">
      <w:pPr>
        <w:spacing w:after="0"/>
        <w:jc w:val="both"/>
        <w:rPr>
          <w:rFonts w:ascii="Calibri" w:hAnsi="Calibri" w:cs="Calibri"/>
        </w:rPr>
      </w:pPr>
    </w:p>
    <w:p w:rsidR="00B93134" w:rsidP="00D97D31" w:rsidRDefault="431CA89F" w14:paraId="352EE317" w14:textId="41A4F146">
      <w:pPr>
        <w:spacing w:after="0"/>
        <w:jc w:val="both"/>
        <w:rPr>
          <w:rFonts w:ascii="Calibri" w:hAnsi="Calibri" w:cs="Calibri"/>
        </w:rPr>
      </w:pPr>
      <w:r w:rsidRPr="73C4B425">
        <w:rPr>
          <w:rFonts w:ascii="Calibri" w:hAnsi="Calibri" w:cs="Calibri"/>
        </w:rPr>
        <w:t xml:space="preserve"> </w:t>
      </w:r>
      <w:r w:rsidRPr="73C4B425" w:rsidR="00B13572">
        <w:rPr>
          <w:rFonts w:ascii="Calibri" w:hAnsi="Calibri" w:cs="Calibri"/>
        </w:rPr>
        <w:t xml:space="preserve">La cadena de valor estructurada </w:t>
      </w:r>
      <w:r w:rsidRPr="73C4B425" w:rsidR="003E1C52">
        <w:rPr>
          <w:rFonts w:ascii="Calibri" w:hAnsi="Calibri" w:cs="Calibri"/>
        </w:rPr>
        <w:t xml:space="preserve">inicialmente </w:t>
      </w:r>
      <w:r w:rsidRPr="73C4B425" w:rsidR="00B13572">
        <w:rPr>
          <w:rFonts w:ascii="Calibri" w:hAnsi="Calibri" w:cs="Calibri"/>
        </w:rPr>
        <w:t xml:space="preserve">para el horizonte del proyecto </w:t>
      </w:r>
      <w:r w:rsidR="00DD4DEC">
        <w:rPr>
          <w:rFonts w:ascii="Calibri" w:hAnsi="Calibri" w:cs="Calibri"/>
        </w:rPr>
        <w:t xml:space="preserve">se evidencia en la </w:t>
      </w:r>
      <w:r w:rsidRPr="00DD4DEC" w:rsidR="00DD4DEC">
        <w:rPr>
          <w:rFonts w:ascii="Calibri" w:hAnsi="Calibri" w:cs="Calibri"/>
          <w:b/>
          <w:bCs/>
        </w:rPr>
        <w:t xml:space="preserve">Tabla </w:t>
      </w:r>
      <w:r w:rsidR="00FB53BC">
        <w:rPr>
          <w:rFonts w:ascii="Calibri" w:hAnsi="Calibri" w:cs="Calibri"/>
          <w:b/>
          <w:bCs/>
        </w:rPr>
        <w:t>15</w:t>
      </w:r>
      <w:r w:rsidRPr="73C4B425" w:rsidR="00B13572">
        <w:rPr>
          <w:rFonts w:ascii="Calibri" w:hAnsi="Calibri" w:cs="Calibri"/>
        </w:rPr>
        <w:t>:</w:t>
      </w:r>
    </w:p>
    <w:p w:rsidR="00D64953" w:rsidP="00D97D31" w:rsidRDefault="00D64953" w14:paraId="0BA6F9C2" w14:textId="75053F1F">
      <w:pPr>
        <w:spacing w:after="0"/>
        <w:jc w:val="both"/>
        <w:rPr>
          <w:rFonts w:ascii="Calibri" w:hAnsi="Calibri" w:cs="Calibri"/>
        </w:rPr>
      </w:pPr>
    </w:p>
    <w:p w:rsidR="00AA38ED" w:rsidP="00D97D31" w:rsidRDefault="25522F54" w14:paraId="7C8D88BE" w14:textId="77777777">
      <w:pPr>
        <w:spacing w:after="0"/>
        <w:jc w:val="both"/>
        <w:rPr>
          <w:rFonts w:ascii="Calibri" w:hAnsi="Calibri" w:cs="Calibri"/>
          <w:b/>
          <w:bCs/>
        </w:rPr>
      </w:pPr>
      <w:r w:rsidRPr="7BCBBB90">
        <w:rPr>
          <w:rFonts w:ascii="Calibri" w:hAnsi="Calibri" w:cs="Calibri"/>
          <w:b/>
          <w:bCs/>
        </w:rPr>
        <w:t>Horizonte de inversión – Cadena de Valor del proyecto</w:t>
      </w:r>
    </w:p>
    <w:p w:rsidRPr="00A9776E" w:rsidR="007A5793" w:rsidP="00D97D31" w:rsidRDefault="007A5793" w14:paraId="63E5C6C8" w14:textId="77777777">
      <w:pPr>
        <w:spacing w:after="0"/>
        <w:jc w:val="both"/>
        <w:rPr>
          <w:rFonts w:ascii="Calibri" w:hAnsi="Calibri" w:cs="Calibri"/>
          <w:b/>
          <w:bCs/>
        </w:rPr>
      </w:pPr>
    </w:p>
    <w:p w:rsidR="00AA38ED" w:rsidP="00D97D31" w:rsidRDefault="25522F54" w14:paraId="7F36453B" w14:textId="3BB0CE79">
      <w:pPr>
        <w:spacing w:after="0"/>
        <w:jc w:val="center"/>
        <w:rPr>
          <w:rFonts w:ascii="Calibri" w:hAnsi="Calibri" w:cs="Calibri"/>
          <w:b/>
          <w:bCs/>
        </w:rPr>
      </w:pPr>
      <w:r w:rsidRPr="7BCBBB90">
        <w:rPr>
          <w:rFonts w:ascii="Calibri" w:hAnsi="Calibri" w:cs="Calibri"/>
          <w:b/>
          <w:bCs/>
        </w:rPr>
        <w:t xml:space="preserve">Tabla </w:t>
      </w:r>
      <w:r w:rsidR="005C287D">
        <w:rPr>
          <w:rFonts w:ascii="Calibri" w:hAnsi="Calibri" w:cs="Calibri"/>
          <w:b/>
          <w:bCs/>
        </w:rPr>
        <w:t>15</w:t>
      </w:r>
      <w:r w:rsidRPr="7BCBBB90">
        <w:rPr>
          <w:rFonts w:ascii="Calibri" w:hAnsi="Calibri" w:cs="Calibri"/>
          <w:b/>
          <w:bCs/>
        </w:rPr>
        <w:t xml:space="preserve">. Cadena de valor, proyecto </w:t>
      </w:r>
      <w:r w:rsidRPr="7BCBBB90" w:rsidR="76A7D3FD">
        <w:rPr>
          <w:rFonts w:ascii="Calibri" w:hAnsi="Calibri" w:cs="Calibri"/>
          <w:b/>
          <w:bCs/>
        </w:rPr>
        <w:t>Ampliación de la cobertura y normalización de redes en la prestación del servicio de energía eléctrica en el territorio nacional</w:t>
      </w:r>
    </w:p>
    <w:p w:rsidRPr="00A9776E" w:rsidR="00AE4CCB" w:rsidP="00D97D31" w:rsidRDefault="00AA61A6" w14:paraId="6625F71A" w14:textId="013AA2F7">
      <w:pPr>
        <w:spacing w:after="0"/>
        <w:ind w:left="-284"/>
        <w:jc w:val="center"/>
      </w:pPr>
      <w:r w:rsidRPr="00AA61A6">
        <w:drawing>
          <wp:inline distT="0" distB="0" distL="0" distR="0" wp14:anchorId="418A903B" wp14:editId="2DEE6750">
            <wp:extent cx="5971540" cy="1243330"/>
            <wp:effectExtent l="0" t="0" r="0" b="0"/>
            <wp:docPr id="25240987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409879" name=""/>
                    <pic:cNvPicPr/>
                  </pic:nvPicPr>
                  <pic:blipFill>
                    <a:blip r:embed="rId11"/>
                    <a:stretch>
                      <a:fillRect/>
                    </a:stretch>
                  </pic:blipFill>
                  <pic:spPr>
                    <a:xfrm>
                      <a:off x="0" y="0"/>
                      <a:ext cx="5971540" cy="1243330"/>
                    </a:xfrm>
                    <a:prstGeom prst="rect">
                      <a:avLst/>
                    </a:prstGeom>
                  </pic:spPr>
                </pic:pic>
              </a:graphicData>
            </a:graphic>
          </wp:inline>
        </w:drawing>
      </w:r>
    </w:p>
    <w:p w:rsidRPr="00F92455" w:rsidR="001B0C8C" w:rsidP="00D97D31" w:rsidRDefault="6051E915" w14:paraId="756C1CC6" w14:textId="4DF48429">
      <w:pPr>
        <w:spacing w:after="0"/>
        <w:ind w:left="-426"/>
        <w:jc w:val="center"/>
        <w:rPr>
          <w:rFonts w:ascii="Calibri" w:hAnsi="Calibri" w:cs="Calibri"/>
        </w:rPr>
      </w:pPr>
      <w:r w:rsidRPr="7BCBBB90">
        <w:rPr>
          <w:b/>
          <w:bCs/>
          <w:i/>
          <w:iCs/>
          <w:sz w:val="18"/>
          <w:szCs w:val="18"/>
        </w:rPr>
        <w:t>Fuente:</w:t>
      </w:r>
      <w:r w:rsidRPr="7BCBBB90">
        <w:rPr>
          <w:b/>
          <w:bCs/>
          <w:i/>
          <w:iCs/>
          <w:spacing w:val="-1"/>
          <w:sz w:val="18"/>
          <w:szCs w:val="18"/>
        </w:rPr>
        <w:t xml:space="preserve"> </w:t>
      </w:r>
      <w:r w:rsidRPr="7BCBBB90">
        <w:rPr>
          <w:sz w:val="18"/>
          <w:szCs w:val="18"/>
        </w:rPr>
        <w:t>PIIP</w:t>
      </w:r>
      <w:r w:rsidRPr="7BCBBB90">
        <w:rPr>
          <w:spacing w:val="-1"/>
          <w:sz w:val="18"/>
          <w:szCs w:val="18"/>
        </w:rPr>
        <w:t xml:space="preserve"> </w:t>
      </w:r>
      <w:r w:rsidRPr="7BCBBB90">
        <w:rPr>
          <w:sz w:val="18"/>
          <w:szCs w:val="18"/>
        </w:rPr>
        <w:t>–</w:t>
      </w:r>
      <w:r w:rsidRPr="7BCBBB90" w:rsidR="4BA4D1EA">
        <w:rPr>
          <w:sz w:val="18"/>
          <w:szCs w:val="18"/>
        </w:rPr>
        <w:t>Cadena de valor ex ante al traslado-</w:t>
      </w:r>
      <w:r w:rsidRPr="7BCBBB90">
        <w:rPr>
          <w:spacing w:val="-2"/>
          <w:sz w:val="18"/>
          <w:szCs w:val="18"/>
        </w:rPr>
        <w:t xml:space="preserve"> </w:t>
      </w:r>
      <w:r w:rsidRPr="7BCBBB90">
        <w:rPr>
          <w:sz w:val="18"/>
          <w:szCs w:val="18"/>
        </w:rPr>
        <w:t>Costos</w:t>
      </w:r>
      <w:r w:rsidRPr="7BCBBB90">
        <w:rPr>
          <w:spacing w:val="-2"/>
          <w:sz w:val="18"/>
          <w:szCs w:val="18"/>
        </w:rPr>
        <w:t xml:space="preserve"> </w:t>
      </w:r>
      <w:r w:rsidRPr="7BCBBB90">
        <w:rPr>
          <w:sz w:val="18"/>
          <w:szCs w:val="18"/>
        </w:rPr>
        <w:t>en</w:t>
      </w:r>
      <w:r w:rsidRPr="7BCBBB90">
        <w:rPr>
          <w:spacing w:val="-2"/>
          <w:sz w:val="18"/>
          <w:szCs w:val="18"/>
        </w:rPr>
        <w:t xml:space="preserve"> </w:t>
      </w:r>
      <w:r w:rsidRPr="7BCBBB90">
        <w:rPr>
          <w:sz w:val="18"/>
          <w:szCs w:val="18"/>
        </w:rPr>
        <w:t>firme</w:t>
      </w:r>
      <w:r w:rsidRPr="7BCBBB90">
        <w:rPr>
          <w:spacing w:val="-2"/>
          <w:sz w:val="18"/>
          <w:szCs w:val="18"/>
        </w:rPr>
        <w:t xml:space="preserve"> </w:t>
      </w:r>
      <w:r w:rsidRPr="7BCBBB90">
        <w:rPr>
          <w:sz w:val="18"/>
          <w:szCs w:val="18"/>
        </w:rPr>
        <w:t>para</w:t>
      </w:r>
      <w:r w:rsidRPr="7BCBBB90">
        <w:rPr>
          <w:spacing w:val="-2"/>
          <w:sz w:val="18"/>
          <w:szCs w:val="18"/>
        </w:rPr>
        <w:t xml:space="preserve"> </w:t>
      </w:r>
      <w:r w:rsidRPr="7BCBBB90">
        <w:rPr>
          <w:sz w:val="18"/>
          <w:szCs w:val="18"/>
        </w:rPr>
        <w:t>el</w:t>
      </w:r>
      <w:r w:rsidRPr="7BCBBB90">
        <w:rPr>
          <w:spacing w:val="-2"/>
          <w:sz w:val="18"/>
          <w:szCs w:val="18"/>
        </w:rPr>
        <w:t xml:space="preserve"> </w:t>
      </w:r>
      <w:r w:rsidRPr="7BCBBB90">
        <w:rPr>
          <w:sz w:val="18"/>
          <w:szCs w:val="18"/>
        </w:rPr>
        <w:t>proyecto</w:t>
      </w:r>
    </w:p>
    <w:p w:rsidRPr="00D22C82" w:rsidR="00BC3206" w:rsidP="00D97D31" w:rsidRDefault="00BC3206" w14:paraId="4E097E55" w14:textId="4F98BDC2">
      <w:pPr>
        <w:spacing w:after="0"/>
        <w:jc w:val="both"/>
        <w:rPr>
          <w:rFonts w:ascii="Calibri" w:hAnsi="Calibri" w:cs="Calibri"/>
        </w:rPr>
      </w:pPr>
    </w:p>
    <w:p w:rsidR="00BA613B" w:rsidP="00D97D31" w:rsidRDefault="00F67E63" w14:paraId="21232A01" w14:textId="77777777">
      <w:pPr>
        <w:jc w:val="both"/>
      </w:pPr>
      <w:r>
        <w:t>E</w:t>
      </w:r>
      <w:r w:rsidR="00C74CCC">
        <w:t xml:space="preserve">l recurso presupuestado para la vigencia 2026 del FONENERGÍA </w:t>
      </w:r>
      <w:r w:rsidR="00A60FB6">
        <w:t xml:space="preserve">es </w:t>
      </w:r>
      <w:r w:rsidR="00C74CCC">
        <w:t xml:space="preserve">de $ 119.506.002.723 </w:t>
      </w:r>
      <w:r w:rsidR="00A60FB6">
        <w:t xml:space="preserve">los cuales </w:t>
      </w:r>
      <w:r w:rsidR="00C74CCC">
        <w:t>serán destinados para fortalecer la capacidad institucional en el diseño e implementación de estrategias efectivas que aseguren la financiación de planes y proyectos</w:t>
      </w:r>
      <w:r w:rsidR="00BA613B">
        <w:t xml:space="preserve"> de soluciones energéticas</w:t>
      </w:r>
      <w:r w:rsidR="00C74CCC">
        <w:t xml:space="preserve"> y para aumentar la infraestructura eléctrica en el territorio nacional. </w:t>
      </w:r>
    </w:p>
    <w:p w:rsidR="006866C6" w:rsidP="00D97D31" w:rsidRDefault="00C74CCC" w14:paraId="133ECEAA" w14:textId="15CA2930">
      <w:pPr>
        <w:jc w:val="both"/>
      </w:pPr>
      <w:r>
        <w:t xml:space="preserve">Por un lado, </w:t>
      </w:r>
      <w:r w:rsidRPr="54D697EE">
        <w:rPr>
          <w:highlight w:val="yellow"/>
        </w:rPr>
        <w:t>$16.000.000.000</w:t>
      </w:r>
      <w:r>
        <w:t xml:space="preserve"> serán destinados para la caracterización y estructuración de 30 proyectos de </w:t>
      </w:r>
      <w:proofErr w:type="spellStart"/>
      <w:r>
        <w:t>pre-inversión</w:t>
      </w:r>
      <w:proofErr w:type="spellEnd"/>
      <w:r>
        <w:t xml:space="preserve"> a cargo del Ministerio de Minas y Energía enfocados en la ampliación de la cobertura y la normalización de redes eléctricas. A su vez </w:t>
      </w:r>
      <w:r w:rsidRPr="004B67BE">
        <w:t>$ 3</w:t>
      </w:r>
      <w:r>
        <w:t>.</w:t>
      </w:r>
      <w:r w:rsidRPr="004B67BE">
        <w:t>186</w:t>
      </w:r>
      <w:r>
        <w:t>.</w:t>
      </w:r>
      <w:r w:rsidRPr="004B67BE">
        <w:t>962</w:t>
      </w:r>
      <w:r>
        <w:t>.</w:t>
      </w:r>
      <w:r w:rsidRPr="004B67BE">
        <w:t>723</w:t>
      </w:r>
      <w:r>
        <w:t xml:space="preserve"> permitirán la elaboración de </w:t>
      </w:r>
      <w:r w:rsidRPr="6B08CD75">
        <w:rPr>
          <w:highlight w:val="yellow"/>
        </w:rPr>
        <w:t>256</w:t>
      </w:r>
      <w:r>
        <w:t xml:space="preserve"> documentos técnicos (entre ellos informes trimestrales técnicos y financieros de seguimiento) que contendrán los resultados de la supervisión de los contratos vigentes en fase de ejecución, liquidación y Administración Operación y Mantenimiento (AOM). Esto implica que los documentos deben estar enmarcados en hacer el seguimiento respectivo a la ejecución de cronograma, estado y operación de los activos. </w:t>
      </w:r>
    </w:p>
    <w:p w:rsidR="000C49DA" w:rsidP="00D97D31" w:rsidRDefault="001F255A" w14:paraId="331C0BB5" w14:textId="1700E6F6">
      <w:pPr>
        <w:jc w:val="both"/>
      </w:pPr>
      <w:r>
        <w:t xml:space="preserve">Aunado a lo anterior, </w:t>
      </w:r>
      <w:r w:rsidR="00EE2BBA">
        <w:t>e</w:t>
      </w:r>
      <w:r w:rsidR="000C49DA">
        <w:t xml:space="preserve">l </w:t>
      </w:r>
      <w:r w:rsidR="002F49C4">
        <w:t xml:space="preserve">total </w:t>
      </w:r>
      <w:r w:rsidR="000C49DA">
        <w:t xml:space="preserve">asignado a </w:t>
      </w:r>
      <w:r w:rsidR="006873BA">
        <w:t xml:space="preserve">los productos de Estudios de </w:t>
      </w:r>
      <w:proofErr w:type="spellStart"/>
      <w:r w:rsidR="006873BA">
        <w:t>pre</w:t>
      </w:r>
      <w:r w:rsidR="0001663B">
        <w:t>-</w:t>
      </w:r>
      <w:r w:rsidR="006873BA">
        <w:t>inversión</w:t>
      </w:r>
      <w:proofErr w:type="spellEnd"/>
      <w:r w:rsidR="006873BA">
        <w:t xml:space="preserve"> y </w:t>
      </w:r>
      <w:r w:rsidR="0001663B">
        <w:t>Documentos de lineamientos técnicos</w:t>
      </w:r>
      <w:r w:rsidR="002F49C4">
        <w:t xml:space="preserve"> de la vigencia 2026 (</w:t>
      </w:r>
      <w:r w:rsidR="00FB08D1">
        <w:t>$19.186.</w:t>
      </w:r>
      <w:r w:rsidR="004E0B14">
        <w:t>962.723</w:t>
      </w:r>
      <w:r w:rsidR="00DB3EAA">
        <w:t>)</w:t>
      </w:r>
      <w:r w:rsidR="00EE2BBA">
        <w:t xml:space="preserve">, ver detalle en la </w:t>
      </w:r>
      <w:r w:rsidRPr="00EE2BBA" w:rsidR="00EE2BBA">
        <w:rPr>
          <w:b/>
          <w:bCs/>
        </w:rPr>
        <w:t xml:space="preserve">Tabla </w:t>
      </w:r>
      <w:r w:rsidR="006C55CD">
        <w:rPr>
          <w:b/>
          <w:bCs/>
        </w:rPr>
        <w:t>15</w:t>
      </w:r>
      <w:r w:rsidR="00EE2BBA">
        <w:t>, también</w:t>
      </w:r>
      <w:r w:rsidR="00AF69BA">
        <w:t xml:space="preserve"> financiaran </w:t>
      </w:r>
      <w:r w:rsidR="00001370">
        <w:t>87 cargos de planta temporal, que participaran en</w:t>
      </w:r>
      <w:r w:rsidR="00FE16F7">
        <w:t xml:space="preserve"> la realización de</w:t>
      </w:r>
      <w:r w:rsidR="00001370">
        <w:t xml:space="preserve"> las actividades </w:t>
      </w:r>
      <w:r w:rsidR="00FE16F7">
        <w:t xml:space="preserve">y/o entregables determinados para el cumplimiento de cada objetivo </w:t>
      </w:r>
      <w:proofErr w:type="spellStart"/>
      <w:r w:rsidR="00FE16F7">
        <w:t>especifico</w:t>
      </w:r>
      <w:proofErr w:type="spellEnd"/>
      <w:r w:rsidR="00FE16F7">
        <w:t xml:space="preserve"> y la correcta operación y funcionamiento de FONENERGÍA. </w:t>
      </w:r>
    </w:p>
    <w:p w:rsidR="00327CDA" w:rsidP="00D97D31" w:rsidRDefault="00C74CCC" w14:paraId="4BD915B7" w14:textId="3A7BFEB1">
      <w:pPr>
        <w:jc w:val="both"/>
      </w:pPr>
      <w:r>
        <w:t>En cuanto a los</w:t>
      </w:r>
      <w:r w:rsidRPr="001C76A9">
        <w:t xml:space="preserve"> $100</w:t>
      </w:r>
      <w:r>
        <w:t>.</w:t>
      </w:r>
      <w:r w:rsidRPr="001C76A9">
        <w:t>319</w:t>
      </w:r>
      <w:r>
        <w:t>.</w:t>
      </w:r>
      <w:r w:rsidRPr="001C76A9">
        <w:t>040</w:t>
      </w:r>
      <w:r>
        <w:t>.</w:t>
      </w:r>
      <w:r w:rsidRPr="001C76A9">
        <w:t>000</w:t>
      </w:r>
      <w:r>
        <w:t xml:space="preserve"> restantes, una vez el IPSE y la UPME emitan concepto FAVORABLE de los proyectos estructurados y presentados por los entes territoriales y Operadores de Red que actualmente se encuentran en proceso de evaluación se realizarán las gestiones administrativas correspondientes que permitan la financiación de estos proyectos</w:t>
      </w:r>
      <w:r w:rsidR="0035145A">
        <w:t xml:space="preserve">. </w:t>
      </w:r>
    </w:p>
    <w:p w:rsidR="00327CDA" w:rsidP="00D97D31" w:rsidRDefault="00327CDA" w14:paraId="4D492F12" w14:textId="277E4112">
      <w:pPr>
        <w:spacing w:after="0"/>
        <w:jc w:val="both"/>
      </w:pPr>
      <w:r>
        <w:t xml:space="preserve">Conforme a lo anterior, para las vigencias 2026 y 2027, la Dirección de Energía Eléctrica tiene proyectada la realización de varios Comités de Asignación de Recursos, en los cuales se priorizarán proyectos orientados a la construcción e instalación de nueva infraestructura eléctrica en las zonas rurales y las zonas no interconectadas, con el fin de ampliar la cobertura, atender la demanda insatisfecha y mejorar la confiabilidad del servicio. La ejecución de estas obras se desarrolla mediante contratos de administración de recursos suscritos por el Ministerio, que incluyen actividades de promoción, capacitación y uso adecuado de la energía para garantizar la sostenibilidad de las soluciones implementadas. De acuerdo con los cronogramas típicos de este tipo de intervenciones, los proyectos presentan un horizonte de ejecución promedio entre 12 y </w:t>
      </w:r>
      <w:r w:rsidR="185CA8AF">
        <w:t>24</w:t>
      </w:r>
      <w:r>
        <w:t xml:space="preserve"> meses, lo que exige asegurar la disponibilidad oportuna de recursos para su desarrollo continuo.</w:t>
      </w:r>
    </w:p>
    <w:p w:rsidR="00C61667" w:rsidP="00D97D31" w:rsidRDefault="00C61667" w14:paraId="6E3F1039" w14:textId="77777777">
      <w:pPr>
        <w:spacing w:after="0"/>
        <w:jc w:val="both"/>
      </w:pPr>
    </w:p>
    <w:p w:rsidR="00327CDA" w:rsidP="00D97D31" w:rsidRDefault="00327CDA" w14:paraId="0B9FADEB" w14:textId="063D7502">
      <w:pPr>
        <w:spacing w:after="0"/>
        <w:jc w:val="both"/>
      </w:pPr>
      <w:r>
        <w:t>Adicionalmente, el listado de proyectos en estado 3 de viabilidad por parte del IPSE</w:t>
      </w:r>
      <w:r w:rsidR="00C61667">
        <w:t xml:space="preserve"> (para más detalle ver </w:t>
      </w:r>
      <w:r w:rsidRPr="00DB3A76" w:rsidR="00C61667">
        <w:rPr>
          <w:b/>
          <w:bCs/>
        </w:rPr>
        <w:t xml:space="preserve">Tabla </w:t>
      </w:r>
      <w:r w:rsidR="000F1336">
        <w:rPr>
          <w:b/>
          <w:bCs/>
        </w:rPr>
        <w:t>16</w:t>
      </w:r>
      <w:r w:rsidR="00C61667">
        <w:t xml:space="preserve">) </w:t>
      </w:r>
      <w:r>
        <w:t>y UPME</w:t>
      </w:r>
      <w:r w:rsidR="00C61667">
        <w:t xml:space="preserve"> (para más detalle ver </w:t>
      </w:r>
      <w:r w:rsidRPr="00DB3A76" w:rsidR="00C61667">
        <w:rPr>
          <w:b/>
          <w:bCs/>
        </w:rPr>
        <w:t xml:space="preserve">Tabla </w:t>
      </w:r>
      <w:r w:rsidR="000F1336">
        <w:rPr>
          <w:b/>
          <w:bCs/>
        </w:rPr>
        <w:t>17</w:t>
      </w:r>
      <w:r w:rsidR="00C61667">
        <w:t xml:space="preserve">), </w:t>
      </w:r>
      <w:r>
        <w:t>se espera presentar ante los Comités de Administración de Recursos del FONENERGIA,</w:t>
      </w:r>
      <w:r w:rsidR="0055318A">
        <w:t xml:space="preserve"> </w:t>
      </w:r>
      <w:r w:rsidR="00D83D81">
        <w:t>siendo u</w:t>
      </w:r>
      <w:r>
        <w:t xml:space="preserve">n insumo fundamental para la programación financiera del bienio 2026–2027. </w:t>
      </w:r>
    </w:p>
    <w:p w:rsidR="00160D29" w:rsidP="00D97D31" w:rsidRDefault="00160D29" w14:paraId="18AEA7ED" w14:textId="77777777">
      <w:pPr>
        <w:spacing w:after="0"/>
        <w:jc w:val="both"/>
      </w:pPr>
    </w:p>
    <w:p w:rsidR="00321473" w:rsidP="00D97D31" w:rsidRDefault="00321473" w14:paraId="0D820CA2" w14:textId="715235F3">
      <w:pPr>
        <w:spacing w:after="0"/>
        <w:jc w:val="center"/>
        <w:rPr>
          <w:rFonts w:ascii="Calibri" w:hAnsi="Calibri" w:cs="Calibri"/>
          <w:b/>
          <w:bCs/>
        </w:rPr>
      </w:pPr>
      <w:r w:rsidRPr="7BCBBB90">
        <w:rPr>
          <w:rFonts w:ascii="Calibri" w:hAnsi="Calibri" w:cs="Calibri"/>
          <w:b/>
          <w:bCs/>
        </w:rPr>
        <w:t xml:space="preserve">Tabla </w:t>
      </w:r>
      <w:r w:rsidR="00E10255">
        <w:rPr>
          <w:rFonts w:ascii="Calibri" w:hAnsi="Calibri" w:cs="Calibri"/>
          <w:b/>
          <w:bCs/>
        </w:rPr>
        <w:t>16</w:t>
      </w:r>
      <w:r w:rsidRPr="7BCBBB90">
        <w:rPr>
          <w:rFonts w:ascii="Calibri" w:hAnsi="Calibri" w:cs="Calibri"/>
          <w:b/>
          <w:bCs/>
        </w:rPr>
        <w:t xml:space="preserve">. </w:t>
      </w:r>
      <w:r w:rsidR="00FC7F31">
        <w:rPr>
          <w:rFonts w:ascii="Calibri" w:hAnsi="Calibri" w:cs="Calibri"/>
          <w:b/>
          <w:bCs/>
        </w:rPr>
        <w:t xml:space="preserve">Proyectos tramitados ante </w:t>
      </w:r>
      <w:r w:rsidR="003437C9">
        <w:rPr>
          <w:rFonts w:ascii="Calibri" w:hAnsi="Calibri" w:cs="Calibri"/>
          <w:b/>
          <w:bCs/>
        </w:rPr>
        <w:t>el IPSE</w:t>
      </w:r>
      <w:r w:rsidR="00AC4AFE">
        <w:rPr>
          <w:rFonts w:ascii="Calibri" w:hAnsi="Calibri" w:cs="Calibri"/>
          <w:b/>
          <w:bCs/>
        </w:rPr>
        <w:t xml:space="preserve"> con concepto FAVORABLE</w:t>
      </w:r>
    </w:p>
    <w:tbl>
      <w:tblPr>
        <w:tblW w:w="0" w:type="auto"/>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ook w:val="06A0" w:firstRow="1" w:lastRow="0" w:firstColumn="1" w:lastColumn="0" w:noHBand="1" w:noVBand="1"/>
      </w:tblPr>
      <w:tblGrid>
        <w:gridCol w:w="547"/>
        <w:gridCol w:w="2119"/>
        <w:gridCol w:w="2491"/>
        <w:gridCol w:w="1688"/>
        <w:gridCol w:w="2549"/>
      </w:tblGrid>
      <w:tr w:rsidRPr="00393F83" w:rsidR="002870B9" w:rsidTr="005C287D" w14:paraId="09272866" w14:textId="77777777">
        <w:trPr>
          <w:trHeight w:val="113"/>
        </w:trPr>
        <w:tc>
          <w:tcPr>
            <w:tcW w:w="547" w:type="dxa"/>
            <w:shd w:val="clear" w:color="auto" w:fill="D9E2F3" w:themeFill="accent1" w:themeFillTint="33"/>
          </w:tcPr>
          <w:p w:rsidRPr="00393F83" w:rsidR="002870B9" w:rsidP="00D97D31" w:rsidRDefault="00647E5A" w14:paraId="3BEB93AA" w14:textId="02B97C84">
            <w:pPr>
              <w:spacing w:after="0"/>
              <w:jc w:val="center"/>
              <w:rPr>
                <w:rFonts w:eastAsia="Nunito" w:cstheme="minorHAnsi"/>
                <w:b/>
                <w:bCs/>
                <w:color w:val="000000" w:themeColor="text1"/>
              </w:rPr>
            </w:pPr>
            <w:proofErr w:type="spellStart"/>
            <w:r w:rsidRPr="00393F83">
              <w:rPr>
                <w:rFonts w:eastAsia="Nunito" w:cstheme="minorHAnsi"/>
                <w:b/>
                <w:bCs/>
                <w:color w:val="000000" w:themeColor="text1"/>
              </w:rPr>
              <w:t>N°</w:t>
            </w:r>
            <w:proofErr w:type="spellEnd"/>
          </w:p>
        </w:tc>
        <w:tc>
          <w:tcPr>
            <w:tcW w:w="2119" w:type="dxa"/>
            <w:shd w:val="clear" w:color="auto" w:fill="D9E2F3" w:themeFill="accent1" w:themeFillTint="33"/>
          </w:tcPr>
          <w:p w:rsidRPr="00393F83" w:rsidR="002870B9" w:rsidP="00D97D31" w:rsidRDefault="002870B9" w14:paraId="578CBA25" w14:textId="7CC130F3">
            <w:pPr>
              <w:spacing w:after="0"/>
              <w:jc w:val="center"/>
              <w:rPr>
                <w:rFonts w:eastAsia="Nunito" w:cstheme="minorHAnsi"/>
                <w:b/>
                <w:bCs/>
                <w:color w:val="000000" w:themeColor="text1"/>
              </w:rPr>
            </w:pPr>
            <w:r w:rsidRPr="00393F83">
              <w:rPr>
                <w:rFonts w:eastAsia="Nunito" w:cstheme="minorHAnsi"/>
                <w:b/>
                <w:bCs/>
                <w:color w:val="000000" w:themeColor="text1"/>
              </w:rPr>
              <w:t>Departamentos</w:t>
            </w:r>
          </w:p>
        </w:tc>
        <w:tc>
          <w:tcPr>
            <w:tcW w:w="2491" w:type="dxa"/>
            <w:shd w:val="clear" w:color="auto" w:fill="D9E2F3" w:themeFill="accent1" w:themeFillTint="33"/>
          </w:tcPr>
          <w:p w:rsidRPr="00393F83" w:rsidR="002870B9" w:rsidP="00D97D31" w:rsidRDefault="002870B9" w14:paraId="4CCE1208" w14:textId="36EA670D">
            <w:pPr>
              <w:spacing w:after="0"/>
              <w:jc w:val="center"/>
              <w:rPr>
                <w:rFonts w:eastAsia="Nunito" w:cstheme="minorHAnsi"/>
                <w:b/>
                <w:bCs/>
                <w:color w:val="000000" w:themeColor="text1"/>
              </w:rPr>
            </w:pPr>
            <w:r w:rsidRPr="00393F83">
              <w:rPr>
                <w:rFonts w:eastAsia="Nunito" w:cstheme="minorHAnsi"/>
                <w:b/>
                <w:bCs/>
                <w:color w:val="000000" w:themeColor="text1"/>
              </w:rPr>
              <w:t>Municipios</w:t>
            </w:r>
          </w:p>
        </w:tc>
        <w:tc>
          <w:tcPr>
            <w:tcW w:w="1688" w:type="dxa"/>
            <w:shd w:val="clear" w:color="auto" w:fill="D9E2F3" w:themeFill="accent1" w:themeFillTint="33"/>
          </w:tcPr>
          <w:p w:rsidRPr="00393F83" w:rsidR="002870B9" w:rsidP="00D97D31" w:rsidRDefault="002870B9" w14:paraId="189688A9" w14:textId="253F93BD">
            <w:pPr>
              <w:spacing w:after="0"/>
              <w:jc w:val="center"/>
              <w:rPr>
                <w:rFonts w:eastAsia="Nunito" w:cstheme="minorHAnsi"/>
                <w:b/>
                <w:bCs/>
                <w:color w:val="000000" w:themeColor="text1"/>
              </w:rPr>
            </w:pPr>
            <w:r w:rsidRPr="00393F83">
              <w:rPr>
                <w:rFonts w:eastAsia="Nunito" w:cstheme="minorHAnsi"/>
                <w:b/>
                <w:bCs/>
                <w:color w:val="000000" w:themeColor="text1"/>
              </w:rPr>
              <w:t>Usuarios</w:t>
            </w:r>
          </w:p>
        </w:tc>
        <w:tc>
          <w:tcPr>
            <w:tcW w:w="2549" w:type="dxa"/>
            <w:shd w:val="clear" w:color="auto" w:fill="D9E2F3" w:themeFill="accent1" w:themeFillTint="33"/>
          </w:tcPr>
          <w:p w:rsidRPr="00393F83" w:rsidR="002870B9" w:rsidP="00D97D31" w:rsidRDefault="002870B9" w14:paraId="6205875F" w14:textId="0A5DDF0C">
            <w:pPr>
              <w:spacing w:after="0"/>
              <w:jc w:val="center"/>
              <w:rPr>
                <w:rFonts w:eastAsia="Nunito" w:cstheme="minorHAnsi"/>
                <w:b/>
                <w:bCs/>
                <w:color w:val="000000" w:themeColor="text1"/>
              </w:rPr>
            </w:pPr>
            <w:r w:rsidRPr="00393F83">
              <w:rPr>
                <w:rFonts w:eastAsia="Nunito" w:cstheme="minorHAnsi"/>
                <w:b/>
                <w:bCs/>
                <w:color w:val="000000" w:themeColor="text1"/>
              </w:rPr>
              <w:t>Valor</w:t>
            </w:r>
          </w:p>
        </w:tc>
      </w:tr>
      <w:tr w:rsidRPr="00393F83" w:rsidR="002870B9" w:rsidTr="005C287D" w14:paraId="191F040F" w14:textId="77777777">
        <w:trPr>
          <w:trHeight w:val="113"/>
        </w:trPr>
        <w:tc>
          <w:tcPr>
            <w:tcW w:w="547" w:type="dxa"/>
          </w:tcPr>
          <w:p w:rsidRPr="00393F83" w:rsidR="002870B9" w:rsidP="00D97D31" w:rsidRDefault="002870B9" w14:paraId="3E457F36" w14:textId="77777777">
            <w:pPr>
              <w:spacing w:after="0"/>
              <w:jc w:val="center"/>
              <w:rPr>
                <w:rFonts w:cstheme="minorHAnsi"/>
              </w:rPr>
            </w:pPr>
            <w:r w:rsidRPr="00393F83">
              <w:rPr>
                <w:rFonts w:eastAsia="Nunito" w:cstheme="minorHAnsi"/>
                <w:color w:val="000000" w:themeColor="text1"/>
              </w:rPr>
              <w:t>1</w:t>
            </w:r>
          </w:p>
        </w:tc>
        <w:tc>
          <w:tcPr>
            <w:tcW w:w="2119" w:type="dxa"/>
          </w:tcPr>
          <w:p w:rsidRPr="00393F83" w:rsidR="002870B9" w:rsidP="00D97D31" w:rsidRDefault="002870B9" w14:paraId="0B2E1044" w14:textId="4E4295F1">
            <w:pPr>
              <w:spacing w:after="0"/>
              <w:jc w:val="center"/>
              <w:rPr>
                <w:rFonts w:eastAsia="Nunito" w:cstheme="minorHAnsi"/>
                <w:color w:val="000000" w:themeColor="text1"/>
              </w:rPr>
            </w:pPr>
            <w:r w:rsidRPr="00393F83">
              <w:rPr>
                <w:rFonts w:eastAsia="Nunito" w:cstheme="minorHAnsi"/>
                <w:color w:val="000000" w:themeColor="text1"/>
              </w:rPr>
              <w:t>Casanare</w:t>
            </w:r>
          </w:p>
        </w:tc>
        <w:tc>
          <w:tcPr>
            <w:tcW w:w="2491" w:type="dxa"/>
          </w:tcPr>
          <w:p w:rsidRPr="00393F83" w:rsidR="002870B9" w:rsidP="00D97D31" w:rsidRDefault="002870B9" w14:paraId="0132A56C" w14:textId="73460E26">
            <w:pPr>
              <w:spacing w:after="0"/>
              <w:jc w:val="center"/>
              <w:rPr>
                <w:rFonts w:eastAsia="Nunito" w:cstheme="minorHAnsi"/>
                <w:color w:val="000000" w:themeColor="text1"/>
              </w:rPr>
            </w:pPr>
            <w:r w:rsidRPr="00393F83">
              <w:rPr>
                <w:rFonts w:eastAsia="Nunito" w:cstheme="minorHAnsi"/>
                <w:color w:val="000000" w:themeColor="text1"/>
              </w:rPr>
              <w:t>Nunchía, La Salin A, Villanueva</w:t>
            </w:r>
          </w:p>
        </w:tc>
        <w:tc>
          <w:tcPr>
            <w:tcW w:w="1688" w:type="dxa"/>
          </w:tcPr>
          <w:p w:rsidRPr="00393F83" w:rsidR="002870B9" w:rsidP="00D97D31" w:rsidRDefault="002870B9" w14:paraId="0F00D3DD" w14:textId="77777777">
            <w:pPr>
              <w:spacing w:after="0"/>
              <w:jc w:val="center"/>
              <w:rPr>
                <w:rFonts w:eastAsia="Nunito" w:cstheme="minorHAnsi"/>
                <w:color w:val="000000" w:themeColor="text1"/>
              </w:rPr>
            </w:pPr>
            <w:r w:rsidRPr="00393F83">
              <w:rPr>
                <w:rFonts w:eastAsia="Nunito" w:cstheme="minorHAnsi"/>
                <w:color w:val="000000" w:themeColor="text1"/>
              </w:rPr>
              <w:t>110</w:t>
            </w:r>
          </w:p>
        </w:tc>
        <w:tc>
          <w:tcPr>
            <w:tcW w:w="2549" w:type="dxa"/>
          </w:tcPr>
          <w:p w:rsidRPr="00393F83" w:rsidR="002870B9" w:rsidP="00D97D31" w:rsidRDefault="002870B9" w14:paraId="2DCC7E88" w14:textId="77777777">
            <w:pPr>
              <w:spacing w:after="0"/>
              <w:jc w:val="center"/>
              <w:rPr>
                <w:rFonts w:eastAsia="Nunito" w:cstheme="minorHAnsi"/>
                <w:color w:val="000000" w:themeColor="text1"/>
              </w:rPr>
            </w:pPr>
            <w:r w:rsidRPr="00393F83">
              <w:rPr>
                <w:rFonts w:eastAsia="Nunito" w:cstheme="minorHAnsi"/>
                <w:color w:val="000000" w:themeColor="text1"/>
              </w:rPr>
              <w:t>$ 3.711.350.127</w:t>
            </w:r>
          </w:p>
        </w:tc>
      </w:tr>
      <w:tr w:rsidRPr="00393F83" w:rsidR="002870B9" w:rsidTr="005C287D" w14:paraId="73C8A54A" w14:textId="77777777">
        <w:trPr>
          <w:trHeight w:val="113"/>
        </w:trPr>
        <w:tc>
          <w:tcPr>
            <w:tcW w:w="547" w:type="dxa"/>
          </w:tcPr>
          <w:p w:rsidRPr="00393F83" w:rsidR="002870B9" w:rsidP="00D97D31" w:rsidRDefault="002870B9" w14:paraId="55EB6AB5" w14:textId="77777777">
            <w:pPr>
              <w:spacing w:after="0"/>
              <w:jc w:val="center"/>
              <w:rPr>
                <w:rFonts w:cstheme="minorHAnsi"/>
              </w:rPr>
            </w:pPr>
            <w:r w:rsidRPr="00393F83">
              <w:rPr>
                <w:rFonts w:eastAsia="Nunito" w:cstheme="minorHAnsi"/>
                <w:color w:val="000000" w:themeColor="text1"/>
              </w:rPr>
              <w:t>2</w:t>
            </w:r>
          </w:p>
        </w:tc>
        <w:tc>
          <w:tcPr>
            <w:tcW w:w="2119" w:type="dxa"/>
          </w:tcPr>
          <w:p w:rsidRPr="00393F83" w:rsidR="002870B9" w:rsidP="00D97D31" w:rsidRDefault="002870B9" w14:paraId="43698D3D" w14:textId="5FACB3BC">
            <w:pPr>
              <w:spacing w:after="0"/>
              <w:jc w:val="center"/>
              <w:rPr>
                <w:rFonts w:eastAsia="Nunito" w:cstheme="minorHAnsi"/>
                <w:color w:val="000000" w:themeColor="text1"/>
              </w:rPr>
            </w:pPr>
            <w:proofErr w:type="spellStart"/>
            <w:r w:rsidRPr="00393F83">
              <w:rPr>
                <w:rFonts w:eastAsia="Nunito" w:cstheme="minorHAnsi"/>
                <w:color w:val="000000" w:themeColor="text1"/>
              </w:rPr>
              <w:t>Caqueta</w:t>
            </w:r>
            <w:proofErr w:type="spellEnd"/>
          </w:p>
        </w:tc>
        <w:tc>
          <w:tcPr>
            <w:tcW w:w="2491" w:type="dxa"/>
          </w:tcPr>
          <w:p w:rsidRPr="00393F83" w:rsidR="002870B9" w:rsidP="00D97D31" w:rsidRDefault="002870B9" w14:paraId="435C3979" w14:textId="40067690">
            <w:pPr>
              <w:spacing w:after="0"/>
              <w:jc w:val="center"/>
              <w:rPr>
                <w:rFonts w:eastAsia="Nunito" w:cstheme="minorHAnsi"/>
                <w:color w:val="000000" w:themeColor="text1"/>
              </w:rPr>
            </w:pPr>
            <w:r w:rsidRPr="00393F83">
              <w:rPr>
                <w:rFonts w:eastAsia="Nunito" w:cstheme="minorHAnsi"/>
                <w:color w:val="000000" w:themeColor="text1"/>
              </w:rPr>
              <w:t xml:space="preserve">Cartagena Del </w:t>
            </w:r>
            <w:proofErr w:type="spellStart"/>
            <w:r w:rsidRPr="00393F83">
              <w:rPr>
                <w:rFonts w:eastAsia="Nunito" w:cstheme="minorHAnsi"/>
                <w:color w:val="000000" w:themeColor="text1"/>
              </w:rPr>
              <w:t>Chairá</w:t>
            </w:r>
            <w:proofErr w:type="spellEnd"/>
          </w:p>
        </w:tc>
        <w:tc>
          <w:tcPr>
            <w:tcW w:w="1688" w:type="dxa"/>
          </w:tcPr>
          <w:p w:rsidRPr="00393F83" w:rsidR="002870B9" w:rsidP="00D97D31" w:rsidRDefault="002870B9" w14:paraId="4415A867" w14:textId="77777777">
            <w:pPr>
              <w:spacing w:after="0"/>
              <w:jc w:val="center"/>
              <w:rPr>
                <w:rFonts w:eastAsia="Nunito" w:cstheme="minorHAnsi"/>
                <w:color w:val="000000" w:themeColor="text1"/>
              </w:rPr>
            </w:pPr>
            <w:r w:rsidRPr="00393F83">
              <w:rPr>
                <w:rFonts w:eastAsia="Nunito" w:cstheme="minorHAnsi"/>
                <w:color w:val="000000" w:themeColor="text1"/>
              </w:rPr>
              <w:t>755</w:t>
            </w:r>
          </w:p>
        </w:tc>
        <w:tc>
          <w:tcPr>
            <w:tcW w:w="2549" w:type="dxa"/>
          </w:tcPr>
          <w:p w:rsidRPr="00393F83" w:rsidR="002870B9" w:rsidP="00D97D31" w:rsidRDefault="002870B9" w14:paraId="0DEA6245" w14:textId="77777777">
            <w:pPr>
              <w:spacing w:after="0"/>
              <w:jc w:val="center"/>
              <w:rPr>
                <w:rFonts w:eastAsia="Nunito" w:cstheme="minorHAnsi"/>
                <w:color w:val="000000" w:themeColor="text1"/>
              </w:rPr>
            </w:pPr>
            <w:r w:rsidRPr="00393F83">
              <w:rPr>
                <w:rFonts w:eastAsia="Nunito" w:cstheme="minorHAnsi"/>
                <w:color w:val="000000" w:themeColor="text1"/>
              </w:rPr>
              <w:t>$ 25.098.323.355</w:t>
            </w:r>
          </w:p>
        </w:tc>
      </w:tr>
      <w:tr w:rsidRPr="00393F83" w:rsidR="002870B9" w:rsidTr="005C287D" w14:paraId="126EDB93" w14:textId="77777777">
        <w:trPr>
          <w:trHeight w:val="113"/>
        </w:trPr>
        <w:tc>
          <w:tcPr>
            <w:tcW w:w="547" w:type="dxa"/>
          </w:tcPr>
          <w:p w:rsidRPr="00393F83" w:rsidR="002870B9" w:rsidP="00D97D31" w:rsidRDefault="002870B9" w14:paraId="7379F8DF" w14:textId="77777777">
            <w:pPr>
              <w:spacing w:after="0"/>
              <w:jc w:val="center"/>
              <w:rPr>
                <w:rFonts w:cstheme="minorHAnsi"/>
              </w:rPr>
            </w:pPr>
            <w:r w:rsidRPr="00393F83">
              <w:rPr>
                <w:rFonts w:eastAsia="Nunito" w:cstheme="minorHAnsi"/>
                <w:color w:val="000000" w:themeColor="text1"/>
              </w:rPr>
              <w:t>3</w:t>
            </w:r>
          </w:p>
        </w:tc>
        <w:tc>
          <w:tcPr>
            <w:tcW w:w="2119" w:type="dxa"/>
          </w:tcPr>
          <w:p w:rsidRPr="00393F83" w:rsidR="002870B9" w:rsidP="00D97D31" w:rsidRDefault="002870B9" w14:paraId="294D7FEB" w14:textId="25CBD4D8">
            <w:pPr>
              <w:spacing w:after="0"/>
              <w:jc w:val="center"/>
              <w:rPr>
                <w:rFonts w:eastAsia="Nunito" w:cstheme="minorHAnsi"/>
                <w:color w:val="000000" w:themeColor="text1"/>
              </w:rPr>
            </w:pPr>
            <w:proofErr w:type="spellStart"/>
            <w:r w:rsidRPr="00393F83">
              <w:rPr>
                <w:rFonts w:eastAsia="Nunito" w:cstheme="minorHAnsi"/>
                <w:color w:val="000000" w:themeColor="text1"/>
              </w:rPr>
              <w:t>Caqueta</w:t>
            </w:r>
            <w:proofErr w:type="spellEnd"/>
          </w:p>
        </w:tc>
        <w:tc>
          <w:tcPr>
            <w:tcW w:w="2491" w:type="dxa"/>
          </w:tcPr>
          <w:p w:rsidRPr="00393F83" w:rsidR="002870B9" w:rsidP="00D97D31" w:rsidRDefault="002870B9" w14:paraId="1D312C6C" w14:textId="0238D8D8">
            <w:pPr>
              <w:spacing w:after="0"/>
              <w:jc w:val="center"/>
              <w:rPr>
                <w:rFonts w:eastAsia="Nunito" w:cstheme="minorHAnsi"/>
                <w:color w:val="000000" w:themeColor="text1"/>
              </w:rPr>
            </w:pPr>
            <w:proofErr w:type="spellStart"/>
            <w:r w:rsidRPr="00393F83">
              <w:rPr>
                <w:rFonts w:eastAsia="Nunito" w:cstheme="minorHAnsi"/>
                <w:color w:val="000000" w:themeColor="text1"/>
              </w:rPr>
              <w:t>Milan</w:t>
            </w:r>
            <w:proofErr w:type="spellEnd"/>
          </w:p>
        </w:tc>
        <w:tc>
          <w:tcPr>
            <w:tcW w:w="1688" w:type="dxa"/>
          </w:tcPr>
          <w:p w:rsidRPr="00393F83" w:rsidR="002870B9" w:rsidP="00D97D31" w:rsidRDefault="002870B9" w14:paraId="0281DABE" w14:textId="77777777">
            <w:pPr>
              <w:spacing w:after="0"/>
              <w:jc w:val="center"/>
              <w:rPr>
                <w:rFonts w:eastAsia="Nunito" w:cstheme="minorHAnsi"/>
                <w:color w:val="000000" w:themeColor="text1"/>
              </w:rPr>
            </w:pPr>
            <w:r w:rsidRPr="00393F83">
              <w:rPr>
                <w:rFonts w:eastAsia="Nunito" w:cstheme="minorHAnsi"/>
                <w:color w:val="000000" w:themeColor="text1"/>
              </w:rPr>
              <w:t>83</w:t>
            </w:r>
          </w:p>
        </w:tc>
        <w:tc>
          <w:tcPr>
            <w:tcW w:w="2549" w:type="dxa"/>
          </w:tcPr>
          <w:p w:rsidRPr="00393F83" w:rsidR="002870B9" w:rsidP="00D97D31" w:rsidRDefault="002870B9" w14:paraId="4AB164A5" w14:textId="77777777">
            <w:pPr>
              <w:spacing w:after="0"/>
              <w:jc w:val="center"/>
              <w:rPr>
                <w:rFonts w:eastAsia="Nunito" w:cstheme="minorHAnsi"/>
                <w:color w:val="000000" w:themeColor="text1"/>
              </w:rPr>
            </w:pPr>
            <w:r w:rsidRPr="00393F83">
              <w:rPr>
                <w:rFonts w:eastAsia="Nunito" w:cstheme="minorHAnsi"/>
                <w:color w:val="000000" w:themeColor="text1"/>
              </w:rPr>
              <w:t>$ 2.958.135.085</w:t>
            </w:r>
          </w:p>
        </w:tc>
      </w:tr>
      <w:tr w:rsidRPr="00393F83" w:rsidR="002870B9" w:rsidTr="005C287D" w14:paraId="544E0DE0" w14:textId="77777777">
        <w:trPr>
          <w:trHeight w:val="113"/>
        </w:trPr>
        <w:tc>
          <w:tcPr>
            <w:tcW w:w="547" w:type="dxa"/>
          </w:tcPr>
          <w:p w:rsidRPr="00393F83" w:rsidR="002870B9" w:rsidP="00D97D31" w:rsidRDefault="002870B9" w14:paraId="41EA4169" w14:textId="77777777">
            <w:pPr>
              <w:spacing w:after="0"/>
              <w:jc w:val="center"/>
              <w:rPr>
                <w:rFonts w:cstheme="minorHAnsi"/>
              </w:rPr>
            </w:pPr>
            <w:r w:rsidRPr="00393F83">
              <w:rPr>
                <w:rFonts w:eastAsia="Nunito" w:cstheme="minorHAnsi"/>
                <w:color w:val="000000" w:themeColor="text1"/>
              </w:rPr>
              <w:t>4</w:t>
            </w:r>
          </w:p>
        </w:tc>
        <w:tc>
          <w:tcPr>
            <w:tcW w:w="2119" w:type="dxa"/>
          </w:tcPr>
          <w:p w:rsidRPr="00393F83" w:rsidR="002870B9" w:rsidP="00D97D31" w:rsidRDefault="002870B9" w14:paraId="52DC3D06" w14:textId="0ACDC7F8">
            <w:pPr>
              <w:spacing w:after="0"/>
              <w:jc w:val="center"/>
              <w:rPr>
                <w:rFonts w:eastAsia="Nunito" w:cstheme="minorHAnsi"/>
                <w:color w:val="000000" w:themeColor="text1"/>
              </w:rPr>
            </w:pPr>
            <w:proofErr w:type="spellStart"/>
            <w:r w:rsidRPr="00393F83">
              <w:rPr>
                <w:rFonts w:eastAsia="Nunito" w:cstheme="minorHAnsi"/>
                <w:color w:val="000000" w:themeColor="text1"/>
              </w:rPr>
              <w:t>Caqueta</w:t>
            </w:r>
            <w:proofErr w:type="spellEnd"/>
          </w:p>
        </w:tc>
        <w:tc>
          <w:tcPr>
            <w:tcW w:w="2491" w:type="dxa"/>
          </w:tcPr>
          <w:p w:rsidRPr="00393F83" w:rsidR="002870B9" w:rsidP="00D97D31" w:rsidRDefault="002870B9" w14:paraId="661DEDE3" w14:textId="443992D2">
            <w:pPr>
              <w:spacing w:after="0"/>
              <w:jc w:val="center"/>
              <w:rPr>
                <w:rFonts w:eastAsia="Nunito" w:cstheme="minorHAnsi"/>
                <w:color w:val="000000" w:themeColor="text1"/>
              </w:rPr>
            </w:pPr>
            <w:r w:rsidRPr="00393F83">
              <w:rPr>
                <w:rFonts w:eastAsia="Nunito" w:cstheme="minorHAnsi"/>
                <w:color w:val="000000" w:themeColor="text1"/>
              </w:rPr>
              <w:t>La Montañita</w:t>
            </w:r>
          </w:p>
        </w:tc>
        <w:tc>
          <w:tcPr>
            <w:tcW w:w="1688" w:type="dxa"/>
          </w:tcPr>
          <w:p w:rsidRPr="00393F83" w:rsidR="002870B9" w:rsidP="00D97D31" w:rsidRDefault="002870B9" w14:paraId="253C0E16" w14:textId="77777777">
            <w:pPr>
              <w:spacing w:after="0"/>
              <w:jc w:val="center"/>
              <w:rPr>
                <w:rFonts w:eastAsia="Nunito" w:cstheme="minorHAnsi"/>
                <w:color w:val="000000" w:themeColor="text1"/>
              </w:rPr>
            </w:pPr>
            <w:r w:rsidRPr="00393F83">
              <w:rPr>
                <w:rFonts w:eastAsia="Nunito" w:cstheme="minorHAnsi"/>
                <w:color w:val="000000" w:themeColor="text1"/>
              </w:rPr>
              <w:t>190</w:t>
            </w:r>
          </w:p>
        </w:tc>
        <w:tc>
          <w:tcPr>
            <w:tcW w:w="2549" w:type="dxa"/>
          </w:tcPr>
          <w:p w:rsidRPr="00393F83" w:rsidR="002870B9" w:rsidP="00D97D31" w:rsidRDefault="002870B9" w14:paraId="0BF515B2" w14:textId="77777777">
            <w:pPr>
              <w:spacing w:after="0"/>
              <w:jc w:val="center"/>
              <w:rPr>
                <w:rFonts w:eastAsia="Nunito" w:cstheme="minorHAnsi"/>
                <w:color w:val="000000" w:themeColor="text1"/>
              </w:rPr>
            </w:pPr>
            <w:r w:rsidRPr="00393F83">
              <w:rPr>
                <w:rFonts w:eastAsia="Nunito" w:cstheme="minorHAnsi"/>
                <w:color w:val="000000" w:themeColor="text1"/>
              </w:rPr>
              <w:t>$ 6.319.400.000</w:t>
            </w:r>
          </w:p>
        </w:tc>
      </w:tr>
      <w:tr w:rsidRPr="00393F83" w:rsidR="002870B9" w:rsidTr="005C287D" w14:paraId="4BD9FF05" w14:textId="77777777">
        <w:trPr>
          <w:trHeight w:val="113"/>
        </w:trPr>
        <w:tc>
          <w:tcPr>
            <w:tcW w:w="547" w:type="dxa"/>
          </w:tcPr>
          <w:p w:rsidRPr="00393F83" w:rsidR="002870B9" w:rsidP="00D97D31" w:rsidRDefault="002870B9" w14:paraId="51773DC4" w14:textId="77777777">
            <w:pPr>
              <w:spacing w:after="0"/>
              <w:jc w:val="center"/>
              <w:rPr>
                <w:rFonts w:cstheme="minorHAnsi"/>
              </w:rPr>
            </w:pPr>
            <w:r w:rsidRPr="00393F83">
              <w:rPr>
                <w:rFonts w:eastAsia="Nunito" w:cstheme="minorHAnsi"/>
                <w:color w:val="000000" w:themeColor="text1"/>
              </w:rPr>
              <w:t>5</w:t>
            </w:r>
          </w:p>
        </w:tc>
        <w:tc>
          <w:tcPr>
            <w:tcW w:w="2119" w:type="dxa"/>
          </w:tcPr>
          <w:p w:rsidRPr="00393F83" w:rsidR="002870B9" w:rsidP="00D97D31" w:rsidRDefault="002870B9" w14:paraId="6689578D" w14:textId="10D632D3">
            <w:pPr>
              <w:spacing w:after="0"/>
              <w:jc w:val="center"/>
              <w:rPr>
                <w:rFonts w:eastAsia="Nunito" w:cstheme="minorHAnsi"/>
                <w:color w:val="000000" w:themeColor="text1"/>
              </w:rPr>
            </w:pPr>
            <w:r w:rsidRPr="00393F83">
              <w:rPr>
                <w:rFonts w:eastAsia="Nunito" w:cstheme="minorHAnsi"/>
                <w:color w:val="000000" w:themeColor="text1"/>
              </w:rPr>
              <w:t>Magdalena</w:t>
            </w:r>
          </w:p>
        </w:tc>
        <w:tc>
          <w:tcPr>
            <w:tcW w:w="2491" w:type="dxa"/>
          </w:tcPr>
          <w:p w:rsidRPr="00393F83" w:rsidR="002870B9" w:rsidP="00D97D31" w:rsidRDefault="002870B9" w14:paraId="3DF0A3C6" w14:textId="37A28D55">
            <w:pPr>
              <w:spacing w:after="0"/>
              <w:jc w:val="center"/>
              <w:rPr>
                <w:rFonts w:eastAsia="Nunito" w:cstheme="minorHAnsi"/>
                <w:color w:val="000000" w:themeColor="text1"/>
              </w:rPr>
            </w:pPr>
            <w:r w:rsidRPr="00393F83">
              <w:rPr>
                <w:rFonts w:eastAsia="Nunito" w:cstheme="minorHAnsi"/>
                <w:color w:val="000000" w:themeColor="text1"/>
              </w:rPr>
              <w:t xml:space="preserve">Sabanas De San </w:t>
            </w:r>
            <w:proofErr w:type="spellStart"/>
            <w:r w:rsidRPr="00393F83">
              <w:rPr>
                <w:rFonts w:eastAsia="Nunito" w:cstheme="minorHAnsi"/>
                <w:color w:val="000000" w:themeColor="text1"/>
              </w:rPr>
              <w:t>Angel</w:t>
            </w:r>
            <w:proofErr w:type="spellEnd"/>
          </w:p>
        </w:tc>
        <w:tc>
          <w:tcPr>
            <w:tcW w:w="1688" w:type="dxa"/>
          </w:tcPr>
          <w:p w:rsidRPr="00393F83" w:rsidR="002870B9" w:rsidP="00D97D31" w:rsidRDefault="002870B9" w14:paraId="53C7BDD1" w14:textId="77777777">
            <w:pPr>
              <w:spacing w:after="0"/>
              <w:jc w:val="center"/>
              <w:rPr>
                <w:rFonts w:eastAsia="Nunito" w:cstheme="minorHAnsi"/>
                <w:color w:val="000000" w:themeColor="text1"/>
              </w:rPr>
            </w:pPr>
            <w:r w:rsidRPr="00393F83">
              <w:rPr>
                <w:rFonts w:eastAsia="Nunito" w:cstheme="minorHAnsi"/>
                <w:color w:val="000000" w:themeColor="text1"/>
              </w:rPr>
              <w:t>346</w:t>
            </w:r>
          </w:p>
        </w:tc>
        <w:tc>
          <w:tcPr>
            <w:tcW w:w="2549" w:type="dxa"/>
          </w:tcPr>
          <w:p w:rsidRPr="00393F83" w:rsidR="002870B9" w:rsidP="00D97D31" w:rsidRDefault="002870B9" w14:paraId="30C9E16E" w14:textId="77777777">
            <w:pPr>
              <w:spacing w:after="0"/>
              <w:jc w:val="center"/>
              <w:rPr>
                <w:rFonts w:eastAsia="Nunito" w:cstheme="minorHAnsi"/>
                <w:color w:val="000000" w:themeColor="text1"/>
              </w:rPr>
            </w:pPr>
            <w:r w:rsidRPr="00393F83">
              <w:rPr>
                <w:rFonts w:eastAsia="Nunito" w:cstheme="minorHAnsi"/>
                <w:color w:val="000000" w:themeColor="text1"/>
              </w:rPr>
              <w:t>$ 11.507.960.000</w:t>
            </w:r>
          </w:p>
        </w:tc>
      </w:tr>
      <w:tr w:rsidRPr="00393F83" w:rsidR="002870B9" w:rsidTr="005C287D" w14:paraId="768045A3" w14:textId="77777777">
        <w:trPr>
          <w:trHeight w:val="645"/>
        </w:trPr>
        <w:tc>
          <w:tcPr>
            <w:tcW w:w="547" w:type="dxa"/>
          </w:tcPr>
          <w:p w:rsidRPr="00393F83" w:rsidR="002870B9" w:rsidP="00D97D31" w:rsidRDefault="002870B9" w14:paraId="0519364A" w14:textId="77777777">
            <w:pPr>
              <w:spacing w:after="0"/>
              <w:jc w:val="center"/>
              <w:rPr>
                <w:rFonts w:cstheme="minorHAnsi"/>
              </w:rPr>
            </w:pPr>
            <w:r w:rsidRPr="00393F83">
              <w:rPr>
                <w:rFonts w:eastAsia="Nunito" w:cstheme="minorHAnsi"/>
                <w:color w:val="000000" w:themeColor="text1"/>
              </w:rPr>
              <w:t>6</w:t>
            </w:r>
          </w:p>
        </w:tc>
        <w:tc>
          <w:tcPr>
            <w:tcW w:w="2119" w:type="dxa"/>
          </w:tcPr>
          <w:p w:rsidRPr="00393F83" w:rsidR="002870B9" w:rsidP="00D97D31" w:rsidRDefault="002870B9" w14:paraId="334475B2" w14:textId="23C213E6">
            <w:pPr>
              <w:spacing w:after="0"/>
              <w:jc w:val="center"/>
              <w:rPr>
                <w:rFonts w:eastAsia="Nunito" w:cstheme="minorHAnsi"/>
                <w:color w:val="000000" w:themeColor="text1"/>
              </w:rPr>
            </w:pPr>
            <w:proofErr w:type="spellStart"/>
            <w:r w:rsidRPr="00393F83">
              <w:rPr>
                <w:rFonts w:eastAsia="Nunito" w:cstheme="minorHAnsi"/>
                <w:color w:val="000000" w:themeColor="text1"/>
              </w:rPr>
              <w:t>Caqueta</w:t>
            </w:r>
            <w:proofErr w:type="spellEnd"/>
            <w:r w:rsidRPr="00393F83">
              <w:rPr>
                <w:rFonts w:eastAsia="Nunito" w:cstheme="minorHAnsi"/>
                <w:color w:val="000000" w:themeColor="text1"/>
              </w:rPr>
              <w:t xml:space="preserve"> Y Meta</w:t>
            </w:r>
          </w:p>
        </w:tc>
        <w:tc>
          <w:tcPr>
            <w:tcW w:w="2491" w:type="dxa"/>
          </w:tcPr>
          <w:p w:rsidRPr="00393F83" w:rsidR="002870B9" w:rsidP="00D97D31" w:rsidRDefault="002870B9" w14:paraId="64640C12" w14:textId="03E38F9E">
            <w:pPr>
              <w:spacing w:after="0"/>
              <w:jc w:val="center"/>
              <w:rPr>
                <w:rFonts w:eastAsia="Nunito" w:cstheme="minorHAnsi"/>
                <w:color w:val="000000" w:themeColor="text1"/>
              </w:rPr>
            </w:pPr>
            <w:r w:rsidRPr="00393F83">
              <w:rPr>
                <w:rFonts w:eastAsia="Nunito" w:cstheme="minorHAnsi"/>
                <w:color w:val="000000" w:themeColor="text1"/>
              </w:rPr>
              <w:t>San Vicente Del Caguán / La Macarena</w:t>
            </w:r>
          </w:p>
        </w:tc>
        <w:tc>
          <w:tcPr>
            <w:tcW w:w="1688" w:type="dxa"/>
          </w:tcPr>
          <w:p w:rsidRPr="00393F83" w:rsidR="002870B9" w:rsidP="00D97D31" w:rsidRDefault="002870B9" w14:paraId="6D3009A5" w14:textId="77777777">
            <w:pPr>
              <w:spacing w:after="0"/>
              <w:jc w:val="center"/>
              <w:rPr>
                <w:rFonts w:eastAsia="Nunito" w:cstheme="minorHAnsi"/>
                <w:color w:val="000000" w:themeColor="text1"/>
              </w:rPr>
            </w:pPr>
            <w:r w:rsidRPr="00393F83">
              <w:rPr>
                <w:rFonts w:eastAsia="Nunito" w:cstheme="minorHAnsi"/>
                <w:color w:val="000000" w:themeColor="text1"/>
              </w:rPr>
              <w:t>521</w:t>
            </w:r>
          </w:p>
        </w:tc>
        <w:tc>
          <w:tcPr>
            <w:tcW w:w="2549" w:type="dxa"/>
          </w:tcPr>
          <w:p w:rsidRPr="00393F83" w:rsidR="002870B9" w:rsidP="00D97D31" w:rsidRDefault="002870B9" w14:paraId="66EEE97D" w14:textId="77777777">
            <w:pPr>
              <w:spacing w:after="0"/>
              <w:jc w:val="center"/>
              <w:rPr>
                <w:rFonts w:eastAsia="Nunito" w:cstheme="minorHAnsi"/>
                <w:color w:val="000000" w:themeColor="text1"/>
              </w:rPr>
            </w:pPr>
            <w:r w:rsidRPr="00393F83">
              <w:rPr>
                <w:rFonts w:eastAsia="Nunito" w:cstheme="minorHAnsi"/>
                <w:color w:val="000000" w:themeColor="text1"/>
              </w:rPr>
              <w:t>$ 17.324.629.250</w:t>
            </w:r>
          </w:p>
        </w:tc>
      </w:tr>
      <w:tr w:rsidRPr="00393F83" w:rsidR="002870B9" w:rsidTr="005C287D" w14:paraId="52807EB6" w14:textId="77777777">
        <w:trPr>
          <w:trHeight w:val="300"/>
        </w:trPr>
        <w:tc>
          <w:tcPr>
            <w:tcW w:w="547" w:type="dxa"/>
          </w:tcPr>
          <w:p w:rsidRPr="00393F83" w:rsidR="002870B9" w:rsidP="00D97D31" w:rsidRDefault="002870B9" w14:paraId="31FC6744" w14:textId="77777777">
            <w:pPr>
              <w:spacing w:after="0"/>
              <w:jc w:val="center"/>
              <w:rPr>
                <w:rFonts w:cstheme="minorHAnsi"/>
              </w:rPr>
            </w:pPr>
            <w:r w:rsidRPr="00393F83">
              <w:rPr>
                <w:rFonts w:eastAsia="Nunito" w:cstheme="minorHAnsi"/>
                <w:color w:val="000000" w:themeColor="text1"/>
              </w:rPr>
              <w:t>7</w:t>
            </w:r>
          </w:p>
        </w:tc>
        <w:tc>
          <w:tcPr>
            <w:tcW w:w="2119" w:type="dxa"/>
          </w:tcPr>
          <w:p w:rsidRPr="00393F83" w:rsidR="002870B9" w:rsidP="00D97D31" w:rsidRDefault="002870B9" w14:paraId="3B1268A8" w14:textId="1C035423">
            <w:pPr>
              <w:spacing w:after="0"/>
              <w:jc w:val="center"/>
              <w:rPr>
                <w:rFonts w:eastAsia="Nunito" w:cstheme="minorHAnsi"/>
                <w:color w:val="000000" w:themeColor="text1"/>
              </w:rPr>
            </w:pPr>
            <w:proofErr w:type="spellStart"/>
            <w:r w:rsidRPr="00393F83">
              <w:rPr>
                <w:rFonts w:eastAsia="Nunito" w:cstheme="minorHAnsi"/>
                <w:color w:val="000000" w:themeColor="text1"/>
              </w:rPr>
              <w:t>Caqueta</w:t>
            </w:r>
            <w:proofErr w:type="spellEnd"/>
          </w:p>
        </w:tc>
        <w:tc>
          <w:tcPr>
            <w:tcW w:w="2491" w:type="dxa"/>
          </w:tcPr>
          <w:p w:rsidRPr="00393F83" w:rsidR="002870B9" w:rsidP="00D97D31" w:rsidRDefault="002870B9" w14:paraId="4C45BD69" w14:textId="3C426F29">
            <w:pPr>
              <w:spacing w:after="0"/>
              <w:jc w:val="center"/>
              <w:rPr>
                <w:rFonts w:eastAsia="Nunito" w:cstheme="minorHAnsi"/>
                <w:color w:val="000000" w:themeColor="text1"/>
              </w:rPr>
            </w:pPr>
            <w:r w:rsidRPr="00393F83">
              <w:rPr>
                <w:rFonts w:eastAsia="Nunito" w:cstheme="minorHAnsi"/>
                <w:color w:val="000000" w:themeColor="text1"/>
              </w:rPr>
              <w:t>Remolinos Del Caguán</w:t>
            </w:r>
          </w:p>
        </w:tc>
        <w:tc>
          <w:tcPr>
            <w:tcW w:w="1688" w:type="dxa"/>
          </w:tcPr>
          <w:p w:rsidRPr="00393F83" w:rsidR="002870B9" w:rsidP="00D97D31" w:rsidRDefault="002870B9" w14:paraId="2A8050D1" w14:textId="77777777">
            <w:pPr>
              <w:spacing w:after="0"/>
              <w:jc w:val="center"/>
              <w:rPr>
                <w:rFonts w:eastAsia="Nunito" w:cstheme="minorHAnsi"/>
                <w:color w:val="000000" w:themeColor="text1"/>
              </w:rPr>
            </w:pPr>
            <w:r w:rsidRPr="00393F83">
              <w:rPr>
                <w:rFonts w:eastAsia="Nunito" w:cstheme="minorHAnsi"/>
                <w:color w:val="000000" w:themeColor="text1"/>
              </w:rPr>
              <w:t>279</w:t>
            </w:r>
          </w:p>
        </w:tc>
        <w:tc>
          <w:tcPr>
            <w:tcW w:w="2549" w:type="dxa"/>
          </w:tcPr>
          <w:p w:rsidRPr="00393F83" w:rsidR="002870B9" w:rsidP="00D97D31" w:rsidRDefault="002870B9" w14:paraId="17A93C71" w14:textId="77777777">
            <w:pPr>
              <w:spacing w:after="0"/>
              <w:jc w:val="center"/>
              <w:rPr>
                <w:rFonts w:eastAsia="Nunito" w:cstheme="minorHAnsi"/>
                <w:color w:val="000000" w:themeColor="text1"/>
              </w:rPr>
            </w:pPr>
            <w:r w:rsidRPr="00393F83">
              <w:rPr>
                <w:rFonts w:eastAsia="Nunito" w:cstheme="minorHAnsi"/>
                <w:color w:val="000000" w:themeColor="text1"/>
              </w:rPr>
              <w:t>$ 7.764.987.342</w:t>
            </w:r>
          </w:p>
        </w:tc>
      </w:tr>
      <w:tr w:rsidRPr="00393F83" w:rsidR="002870B9" w:rsidTr="005C287D" w14:paraId="6DD384BC" w14:textId="77777777">
        <w:trPr>
          <w:trHeight w:val="300"/>
        </w:trPr>
        <w:tc>
          <w:tcPr>
            <w:tcW w:w="547" w:type="dxa"/>
          </w:tcPr>
          <w:p w:rsidRPr="00393F83" w:rsidR="002870B9" w:rsidP="00D97D31" w:rsidRDefault="002870B9" w14:paraId="2689E6C8" w14:textId="77777777">
            <w:pPr>
              <w:spacing w:after="0"/>
              <w:jc w:val="center"/>
              <w:rPr>
                <w:rFonts w:cstheme="minorHAnsi"/>
              </w:rPr>
            </w:pPr>
            <w:r w:rsidRPr="00393F83">
              <w:rPr>
                <w:rFonts w:eastAsia="Nunito" w:cstheme="minorHAnsi"/>
                <w:color w:val="000000" w:themeColor="text1"/>
              </w:rPr>
              <w:t>8</w:t>
            </w:r>
          </w:p>
        </w:tc>
        <w:tc>
          <w:tcPr>
            <w:tcW w:w="2119" w:type="dxa"/>
          </w:tcPr>
          <w:p w:rsidRPr="00393F83" w:rsidR="002870B9" w:rsidP="00D97D31" w:rsidRDefault="002870B9" w14:paraId="13675842" w14:textId="6EAEB8AD">
            <w:pPr>
              <w:spacing w:after="0"/>
              <w:jc w:val="center"/>
              <w:rPr>
                <w:rFonts w:eastAsia="Nunito" w:cstheme="minorHAnsi"/>
                <w:color w:val="000000" w:themeColor="text1"/>
              </w:rPr>
            </w:pPr>
            <w:r w:rsidRPr="00393F83">
              <w:rPr>
                <w:rFonts w:eastAsia="Nunito" w:cstheme="minorHAnsi"/>
                <w:color w:val="000000" w:themeColor="text1"/>
              </w:rPr>
              <w:t>Cauca</w:t>
            </w:r>
          </w:p>
        </w:tc>
        <w:tc>
          <w:tcPr>
            <w:tcW w:w="2491" w:type="dxa"/>
          </w:tcPr>
          <w:p w:rsidRPr="00393F83" w:rsidR="002870B9" w:rsidP="00D97D31" w:rsidRDefault="002870B9" w14:paraId="7EB18808" w14:textId="68CF7EDA">
            <w:pPr>
              <w:spacing w:after="0"/>
              <w:jc w:val="center"/>
              <w:rPr>
                <w:rFonts w:eastAsia="Nunito" w:cstheme="minorHAnsi"/>
                <w:color w:val="000000" w:themeColor="text1"/>
              </w:rPr>
            </w:pPr>
            <w:r w:rsidRPr="00393F83">
              <w:rPr>
                <w:rFonts w:eastAsia="Nunito" w:cstheme="minorHAnsi"/>
                <w:color w:val="000000" w:themeColor="text1"/>
              </w:rPr>
              <w:t>Piamonte</w:t>
            </w:r>
          </w:p>
        </w:tc>
        <w:tc>
          <w:tcPr>
            <w:tcW w:w="1688" w:type="dxa"/>
          </w:tcPr>
          <w:p w:rsidRPr="00393F83" w:rsidR="002870B9" w:rsidP="00D97D31" w:rsidRDefault="002870B9" w14:paraId="7BBC939D" w14:textId="77777777">
            <w:pPr>
              <w:spacing w:after="0"/>
              <w:jc w:val="center"/>
              <w:rPr>
                <w:rFonts w:eastAsia="Nunito" w:cstheme="minorHAnsi"/>
                <w:color w:val="000000" w:themeColor="text1"/>
              </w:rPr>
            </w:pPr>
            <w:r w:rsidRPr="00393F83">
              <w:rPr>
                <w:rFonts w:eastAsia="Nunito" w:cstheme="minorHAnsi"/>
                <w:color w:val="000000" w:themeColor="text1"/>
              </w:rPr>
              <w:t>151</w:t>
            </w:r>
          </w:p>
        </w:tc>
        <w:tc>
          <w:tcPr>
            <w:tcW w:w="2549" w:type="dxa"/>
          </w:tcPr>
          <w:p w:rsidRPr="00393F83" w:rsidR="002870B9" w:rsidP="00D97D31" w:rsidRDefault="002870B9" w14:paraId="0C77DFDB" w14:textId="77777777">
            <w:pPr>
              <w:spacing w:after="0"/>
              <w:jc w:val="center"/>
              <w:rPr>
                <w:rFonts w:eastAsia="Nunito" w:cstheme="minorHAnsi"/>
                <w:color w:val="000000" w:themeColor="text1"/>
              </w:rPr>
            </w:pPr>
            <w:r w:rsidRPr="00393F83">
              <w:rPr>
                <w:rFonts w:eastAsia="Nunito" w:cstheme="minorHAnsi"/>
                <w:color w:val="000000" w:themeColor="text1"/>
              </w:rPr>
              <w:t>$ 5.022.713.000</w:t>
            </w:r>
          </w:p>
        </w:tc>
      </w:tr>
      <w:tr w:rsidRPr="00393F83" w:rsidR="002870B9" w:rsidTr="005C287D" w14:paraId="5EED1CFF" w14:textId="77777777">
        <w:trPr>
          <w:trHeight w:val="345"/>
        </w:trPr>
        <w:tc>
          <w:tcPr>
            <w:tcW w:w="547" w:type="dxa"/>
          </w:tcPr>
          <w:p w:rsidRPr="00393F83" w:rsidR="002870B9" w:rsidP="00D97D31" w:rsidRDefault="002870B9" w14:paraId="669818A1" w14:textId="77777777">
            <w:pPr>
              <w:spacing w:after="0"/>
              <w:jc w:val="center"/>
              <w:rPr>
                <w:rFonts w:cstheme="minorHAnsi"/>
              </w:rPr>
            </w:pPr>
            <w:r w:rsidRPr="00393F83">
              <w:rPr>
                <w:rFonts w:eastAsia="Nunito" w:cstheme="minorHAnsi"/>
                <w:color w:val="000000" w:themeColor="text1"/>
              </w:rPr>
              <w:t>9</w:t>
            </w:r>
          </w:p>
        </w:tc>
        <w:tc>
          <w:tcPr>
            <w:tcW w:w="2119" w:type="dxa"/>
          </w:tcPr>
          <w:p w:rsidRPr="00393F83" w:rsidR="002870B9" w:rsidP="00D97D31" w:rsidRDefault="002870B9" w14:paraId="73F5CDE6" w14:textId="3C6765DC">
            <w:pPr>
              <w:spacing w:after="0"/>
              <w:jc w:val="center"/>
              <w:rPr>
                <w:rFonts w:eastAsia="Nunito" w:cstheme="minorHAnsi"/>
                <w:color w:val="000000" w:themeColor="text1"/>
              </w:rPr>
            </w:pPr>
            <w:r w:rsidRPr="00393F83">
              <w:rPr>
                <w:rFonts w:eastAsia="Nunito" w:cstheme="minorHAnsi"/>
                <w:color w:val="000000" w:themeColor="text1"/>
              </w:rPr>
              <w:t>Magdalena</w:t>
            </w:r>
          </w:p>
        </w:tc>
        <w:tc>
          <w:tcPr>
            <w:tcW w:w="2491" w:type="dxa"/>
          </w:tcPr>
          <w:p w:rsidRPr="00393F83" w:rsidR="002870B9" w:rsidP="00D97D31" w:rsidRDefault="002870B9" w14:paraId="37E8E299" w14:textId="65B10337">
            <w:pPr>
              <w:spacing w:after="0"/>
              <w:jc w:val="center"/>
              <w:rPr>
                <w:rFonts w:eastAsia="Nunito" w:cstheme="minorHAnsi"/>
                <w:color w:val="000000" w:themeColor="text1"/>
              </w:rPr>
            </w:pPr>
            <w:proofErr w:type="spellStart"/>
            <w:r w:rsidRPr="00393F83">
              <w:rPr>
                <w:rFonts w:eastAsia="Nunito" w:cstheme="minorHAnsi"/>
                <w:color w:val="000000" w:themeColor="text1"/>
              </w:rPr>
              <w:t>Fundacion</w:t>
            </w:r>
            <w:proofErr w:type="spellEnd"/>
          </w:p>
        </w:tc>
        <w:tc>
          <w:tcPr>
            <w:tcW w:w="1688" w:type="dxa"/>
          </w:tcPr>
          <w:p w:rsidRPr="00393F83" w:rsidR="002870B9" w:rsidP="00D97D31" w:rsidRDefault="002870B9" w14:paraId="7C49CCBD" w14:textId="77777777">
            <w:pPr>
              <w:spacing w:after="0"/>
              <w:jc w:val="center"/>
              <w:rPr>
                <w:rFonts w:eastAsia="Nunito" w:cstheme="minorHAnsi"/>
                <w:color w:val="000000" w:themeColor="text1"/>
              </w:rPr>
            </w:pPr>
            <w:r w:rsidRPr="00393F83">
              <w:rPr>
                <w:rFonts w:eastAsia="Nunito" w:cstheme="minorHAnsi"/>
                <w:color w:val="000000" w:themeColor="text1"/>
              </w:rPr>
              <w:t>894</w:t>
            </w:r>
          </w:p>
        </w:tc>
        <w:tc>
          <w:tcPr>
            <w:tcW w:w="2549" w:type="dxa"/>
          </w:tcPr>
          <w:p w:rsidRPr="00393F83" w:rsidR="002870B9" w:rsidP="00D97D31" w:rsidRDefault="002870B9" w14:paraId="3640619A" w14:textId="77777777">
            <w:pPr>
              <w:spacing w:after="0"/>
              <w:jc w:val="center"/>
              <w:rPr>
                <w:rFonts w:eastAsia="Nunito" w:cstheme="minorHAnsi"/>
                <w:color w:val="000000" w:themeColor="text1"/>
              </w:rPr>
            </w:pPr>
            <w:r w:rsidRPr="00393F83">
              <w:rPr>
                <w:rFonts w:eastAsia="Nunito" w:cstheme="minorHAnsi"/>
                <w:color w:val="000000" w:themeColor="text1"/>
              </w:rPr>
              <w:t>$ 31.021.613.615</w:t>
            </w:r>
          </w:p>
        </w:tc>
      </w:tr>
      <w:tr w:rsidRPr="00393F83" w:rsidR="002870B9" w:rsidTr="005C287D" w14:paraId="13426975" w14:textId="77777777">
        <w:trPr>
          <w:trHeight w:val="300"/>
        </w:trPr>
        <w:tc>
          <w:tcPr>
            <w:tcW w:w="547" w:type="dxa"/>
          </w:tcPr>
          <w:p w:rsidRPr="00393F83" w:rsidR="002870B9" w:rsidP="00D97D31" w:rsidRDefault="002870B9" w14:paraId="497E4A7D" w14:textId="77777777">
            <w:pPr>
              <w:spacing w:after="0"/>
              <w:jc w:val="center"/>
              <w:rPr>
                <w:rFonts w:cstheme="minorHAnsi"/>
              </w:rPr>
            </w:pPr>
            <w:r w:rsidRPr="00393F83">
              <w:rPr>
                <w:rFonts w:eastAsia="Nunito" w:cstheme="minorHAnsi"/>
                <w:color w:val="000000" w:themeColor="text1"/>
              </w:rPr>
              <w:t>10</w:t>
            </w:r>
          </w:p>
        </w:tc>
        <w:tc>
          <w:tcPr>
            <w:tcW w:w="2119" w:type="dxa"/>
          </w:tcPr>
          <w:p w:rsidRPr="00393F83" w:rsidR="002870B9" w:rsidP="00D97D31" w:rsidRDefault="002870B9" w14:paraId="0CFC6DD0" w14:textId="5CB3436F">
            <w:pPr>
              <w:spacing w:after="0"/>
              <w:jc w:val="center"/>
              <w:rPr>
                <w:rFonts w:eastAsia="Nunito" w:cstheme="minorHAnsi"/>
                <w:color w:val="000000" w:themeColor="text1"/>
              </w:rPr>
            </w:pPr>
            <w:r w:rsidRPr="00393F83">
              <w:rPr>
                <w:rFonts w:eastAsia="Nunito" w:cstheme="minorHAnsi"/>
                <w:color w:val="000000" w:themeColor="text1"/>
              </w:rPr>
              <w:t>Cesar</w:t>
            </w:r>
          </w:p>
        </w:tc>
        <w:tc>
          <w:tcPr>
            <w:tcW w:w="2491" w:type="dxa"/>
          </w:tcPr>
          <w:p w:rsidRPr="00393F83" w:rsidR="002870B9" w:rsidP="00D97D31" w:rsidRDefault="002870B9" w14:paraId="4B0D7437" w14:textId="7783D498">
            <w:pPr>
              <w:spacing w:after="0"/>
              <w:jc w:val="center"/>
              <w:rPr>
                <w:rFonts w:eastAsia="Nunito" w:cstheme="minorHAnsi"/>
                <w:color w:val="000000" w:themeColor="text1"/>
              </w:rPr>
            </w:pPr>
            <w:r w:rsidRPr="00393F83">
              <w:rPr>
                <w:rFonts w:eastAsia="Nunito" w:cstheme="minorHAnsi"/>
                <w:color w:val="000000" w:themeColor="text1"/>
              </w:rPr>
              <w:t>Pueblo Bello</w:t>
            </w:r>
          </w:p>
        </w:tc>
        <w:tc>
          <w:tcPr>
            <w:tcW w:w="1688" w:type="dxa"/>
          </w:tcPr>
          <w:p w:rsidRPr="00393F83" w:rsidR="002870B9" w:rsidP="00D97D31" w:rsidRDefault="002870B9" w14:paraId="5E304FE6" w14:textId="77777777">
            <w:pPr>
              <w:spacing w:after="0"/>
              <w:jc w:val="center"/>
              <w:rPr>
                <w:rFonts w:eastAsia="Nunito" w:cstheme="minorHAnsi"/>
                <w:color w:val="000000" w:themeColor="text1"/>
              </w:rPr>
            </w:pPr>
            <w:r w:rsidRPr="00393F83">
              <w:rPr>
                <w:rFonts w:eastAsia="Nunito" w:cstheme="minorHAnsi"/>
                <w:color w:val="000000" w:themeColor="text1"/>
              </w:rPr>
              <w:t>947</w:t>
            </w:r>
          </w:p>
        </w:tc>
        <w:tc>
          <w:tcPr>
            <w:tcW w:w="2549" w:type="dxa"/>
          </w:tcPr>
          <w:p w:rsidRPr="00393F83" w:rsidR="002870B9" w:rsidP="00D97D31" w:rsidRDefault="002870B9" w14:paraId="7E76164C" w14:textId="77777777">
            <w:pPr>
              <w:spacing w:after="0"/>
              <w:jc w:val="center"/>
              <w:rPr>
                <w:rFonts w:eastAsia="Nunito" w:cstheme="minorHAnsi"/>
                <w:color w:val="000000" w:themeColor="text1"/>
              </w:rPr>
            </w:pPr>
            <w:r w:rsidRPr="00393F83">
              <w:rPr>
                <w:rFonts w:eastAsia="Nunito" w:cstheme="minorHAnsi"/>
                <w:color w:val="000000" w:themeColor="text1"/>
              </w:rPr>
              <w:t>$ 34.085.892.283</w:t>
            </w:r>
          </w:p>
        </w:tc>
      </w:tr>
      <w:tr w:rsidRPr="00393F83" w:rsidR="002870B9" w:rsidTr="005C287D" w14:paraId="4EC8D21C" w14:textId="77777777">
        <w:trPr>
          <w:trHeight w:val="300"/>
        </w:trPr>
        <w:tc>
          <w:tcPr>
            <w:tcW w:w="547" w:type="dxa"/>
          </w:tcPr>
          <w:p w:rsidRPr="00393F83" w:rsidR="002870B9" w:rsidP="00D97D31" w:rsidRDefault="002870B9" w14:paraId="75D46D1D" w14:textId="77777777">
            <w:pPr>
              <w:spacing w:after="0"/>
              <w:jc w:val="center"/>
              <w:rPr>
                <w:rFonts w:cstheme="minorHAnsi"/>
              </w:rPr>
            </w:pPr>
            <w:r w:rsidRPr="00393F83">
              <w:rPr>
                <w:rFonts w:eastAsia="Nunito" w:cstheme="minorHAnsi"/>
                <w:color w:val="000000" w:themeColor="text1"/>
              </w:rPr>
              <w:t>11</w:t>
            </w:r>
          </w:p>
        </w:tc>
        <w:tc>
          <w:tcPr>
            <w:tcW w:w="2119" w:type="dxa"/>
          </w:tcPr>
          <w:p w:rsidRPr="00393F83" w:rsidR="002870B9" w:rsidP="00D97D31" w:rsidRDefault="002870B9" w14:paraId="716AF9E7" w14:textId="1AC8D5B6">
            <w:pPr>
              <w:spacing w:after="0"/>
              <w:jc w:val="center"/>
              <w:rPr>
                <w:rFonts w:eastAsia="Nunito" w:cstheme="minorHAnsi"/>
                <w:color w:val="000000" w:themeColor="text1"/>
              </w:rPr>
            </w:pPr>
            <w:r w:rsidRPr="00393F83">
              <w:rPr>
                <w:rFonts w:eastAsia="Nunito" w:cstheme="minorHAnsi"/>
                <w:color w:val="000000" w:themeColor="text1"/>
              </w:rPr>
              <w:t>Cesar</w:t>
            </w:r>
          </w:p>
        </w:tc>
        <w:tc>
          <w:tcPr>
            <w:tcW w:w="2491" w:type="dxa"/>
          </w:tcPr>
          <w:p w:rsidRPr="00393F83" w:rsidR="002870B9" w:rsidP="00D97D31" w:rsidRDefault="002870B9" w14:paraId="3002033D" w14:textId="20CE5C8A">
            <w:pPr>
              <w:spacing w:after="0"/>
              <w:jc w:val="center"/>
              <w:rPr>
                <w:rFonts w:eastAsia="Nunito" w:cstheme="minorHAnsi"/>
                <w:color w:val="000000" w:themeColor="text1"/>
              </w:rPr>
            </w:pPr>
            <w:r w:rsidRPr="00393F83">
              <w:rPr>
                <w:rFonts w:eastAsia="Nunito" w:cstheme="minorHAnsi"/>
                <w:color w:val="000000" w:themeColor="text1"/>
              </w:rPr>
              <w:t>Codazzi</w:t>
            </w:r>
          </w:p>
        </w:tc>
        <w:tc>
          <w:tcPr>
            <w:tcW w:w="1688" w:type="dxa"/>
          </w:tcPr>
          <w:p w:rsidRPr="00393F83" w:rsidR="002870B9" w:rsidP="00D97D31" w:rsidRDefault="002870B9" w14:paraId="5842F96D" w14:textId="77777777">
            <w:pPr>
              <w:spacing w:after="0"/>
              <w:jc w:val="center"/>
              <w:rPr>
                <w:rFonts w:eastAsia="Nunito" w:cstheme="minorHAnsi"/>
                <w:color w:val="000000" w:themeColor="text1"/>
              </w:rPr>
            </w:pPr>
            <w:r w:rsidRPr="00393F83">
              <w:rPr>
                <w:rFonts w:eastAsia="Nunito" w:cstheme="minorHAnsi"/>
                <w:color w:val="000000" w:themeColor="text1"/>
              </w:rPr>
              <w:t>749</w:t>
            </w:r>
          </w:p>
        </w:tc>
        <w:tc>
          <w:tcPr>
            <w:tcW w:w="2549" w:type="dxa"/>
          </w:tcPr>
          <w:p w:rsidRPr="00393F83" w:rsidR="002870B9" w:rsidP="00D97D31" w:rsidRDefault="002870B9" w14:paraId="1C67A244" w14:textId="77777777">
            <w:pPr>
              <w:spacing w:after="0"/>
              <w:jc w:val="center"/>
              <w:rPr>
                <w:rFonts w:eastAsia="Nunito" w:cstheme="minorHAnsi"/>
                <w:color w:val="000000" w:themeColor="text1"/>
              </w:rPr>
            </w:pPr>
            <w:r w:rsidRPr="00393F83">
              <w:rPr>
                <w:rFonts w:eastAsia="Nunito" w:cstheme="minorHAnsi"/>
                <w:color w:val="000000" w:themeColor="text1"/>
              </w:rPr>
              <w:t>$ 35.203.000.000</w:t>
            </w:r>
          </w:p>
        </w:tc>
      </w:tr>
      <w:tr w:rsidRPr="00393F83" w:rsidR="002870B9" w:rsidTr="005C287D" w14:paraId="5168A3D3" w14:textId="77777777">
        <w:trPr>
          <w:trHeight w:val="300"/>
        </w:trPr>
        <w:tc>
          <w:tcPr>
            <w:tcW w:w="547" w:type="dxa"/>
          </w:tcPr>
          <w:p w:rsidRPr="00393F83" w:rsidR="002870B9" w:rsidP="00D97D31" w:rsidRDefault="002870B9" w14:paraId="093159FC" w14:textId="77777777">
            <w:pPr>
              <w:spacing w:after="0"/>
              <w:jc w:val="center"/>
              <w:rPr>
                <w:rFonts w:cstheme="minorHAnsi"/>
              </w:rPr>
            </w:pPr>
            <w:r w:rsidRPr="00393F83">
              <w:rPr>
                <w:rFonts w:eastAsia="Nunito" w:cstheme="minorHAnsi"/>
                <w:color w:val="000000" w:themeColor="text1"/>
              </w:rPr>
              <w:t>12</w:t>
            </w:r>
          </w:p>
        </w:tc>
        <w:tc>
          <w:tcPr>
            <w:tcW w:w="2119" w:type="dxa"/>
          </w:tcPr>
          <w:p w:rsidRPr="00393F83" w:rsidR="002870B9" w:rsidP="00D97D31" w:rsidRDefault="002870B9" w14:paraId="4555DBE8" w14:textId="2AFB8714">
            <w:pPr>
              <w:spacing w:after="0"/>
              <w:jc w:val="center"/>
              <w:rPr>
                <w:rFonts w:eastAsia="Nunito" w:cstheme="minorHAnsi"/>
                <w:color w:val="000000" w:themeColor="text1"/>
              </w:rPr>
            </w:pPr>
            <w:r w:rsidRPr="00393F83">
              <w:rPr>
                <w:rFonts w:eastAsia="Nunito" w:cstheme="minorHAnsi"/>
                <w:color w:val="000000" w:themeColor="text1"/>
              </w:rPr>
              <w:t>Sucre</w:t>
            </w:r>
          </w:p>
        </w:tc>
        <w:tc>
          <w:tcPr>
            <w:tcW w:w="2491" w:type="dxa"/>
          </w:tcPr>
          <w:p w:rsidRPr="00393F83" w:rsidR="002870B9" w:rsidP="00D97D31" w:rsidRDefault="002870B9" w14:paraId="09E23870" w14:textId="71FD7656">
            <w:pPr>
              <w:spacing w:after="0"/>
              <w:jc w:val="center"/>
              <w:rPr>
                <w:rFonts w:eastAsia="Nunito" w:cstheme="minorHAnsi"/>
                <w:color w:val="000000" w:themeColor="text1"/>
              </w:rPr>
            </w:pPr>
            <w:r w:rsidRPr="00393F83">
              <w:rPr>
                <w:rFonts w:eastAsia="Nunito" w:cstheme="minorHAnsi"/>
                <w:color w:val="000000" w:themeColor="text1"/>
              </w:rPr>
              <w:t>San Benito Abad</w:t>
            </w:r>
          </w:p>
        </w:tc>
        <w:tc>
          <w:tcPr>
            <w:tcW w:w="1688" w:type="dxa"/>
          </w:tcPr>
          <w:p w:rsidRPr="00393F83" w:rsidR="002870B9" w:rsidP="00D97D31" w:rsidRDefault="002870B9" w14:paraId="469BDC68" w14:textId="77777777">
            <w:pPr>
              <w:spacing w:after="0"/>
              <w:jc w:val="center"/>
              <w:rPr>
                <w:rFonts w:eastAsia="Nunito" w:cstheme="minorHAnsi"/>
                <w:color w:val="000000" w:themeColor="text1"/>
              </w:rPr>
            </w:pPr>
            <w:r w:rsidRPr="00393F83">
              <w:rPr>
                <w:rFonts w:eastAsia="Nunito" w:cstheme="minorHAnsi"/>
                <w:color w:val="000000" w:themeColor="text1"/>
              </w:rPr>
              <w:t>199</w:t>
            </w:r>
          </w:p>
        </w:tc>
        <w:tc>
          <w:tcPr>
            <w:tcW w:w="2549" w:type="dxa"/>
          </w:tcPr>
          <w:p w:rsidRPr="00393F83" w:rsidR="002870B9" w:rsidP="00D97D31" w:rsidRDefault="002870B9" w14:paraId="646352B4" w14:textId="77777777">
            <w:pPr>
              <w:spacing w:after="0"/>
              <w:jc w:val="center"/>
              <w:rPr>
                <w:rFonts w:eastAsia="Nunito" w:cstheme="minorHAnsi"/>
                <w:color w:val="000000" w:themeColor="text1"/>
              </w:rPr>
            </w:pPr>
            <w:r w:rsidRPr="00393F83">
              <w:rPr>
                <w:rFonts w:eastAsia="Nunito" w:cstheme="minorHAnsi"/>
                <w:color w:val="000000" w:themeColor="text1"/>
              </w:rPr>
              <w:t>$ 9.353.000.000</w:t>
            </w:r>
          </w:p>
        </w:tc>
      </w:tr>
      <w:tr w:rsidRPr="00393F83" w:rsidR="002870B9" w:rsidTr="005C287D" w14:paraId="2193609A" w14:textId="77777777">
        <w:trPr>
          <w:trHeight w:val="315"/>
        </w:trPr>
        <w:tc>
          <w:tcPr>
            <w:tcW w:w="547" w:type="dxa"/>
          </w:tcPr>
          <w:p w:rsidRPr="00393F83" w:rsidR="002870B9" w:rsidP="00D97D31" w:rsidRDefault="002870B9" w14:paraId="3661A6BA" w14:textId="77777777">
            <w:pPr>
              <w:spacing w:after="0"/>
              <w:jc w:val="center"/>
              <w:rPr>
                <w:rFonts w:cstheme="minorHAnsi"/>
              </w:rPr>
            </w:pPr>
            <w:r w:rsidRPr="00393F83">
              <w:rPr>
                <w:rFonts w:eastAsia="Nunito" w:cstheme="minorHAnsi"/>
                <w:color w:val="000000" w:themeColor="text1"/>
              </w:rPr>
              <w:t>13</w:t>
            </w:r>
          </w:p>
        </w:tc>
        <w:tc>
          <w:tcPr>
            <w:tcW w:w="2119" w:type="dxa"/>
          </w:tcPr>
          <w:p w:rsidRPr="00393F83" w:rsidR="002870B9" w:rsidP="00D97D31" w:rsidRDefault="002870B9" w14:paraId="5B45F593" w14:textId="730F7E56">
            <w:pPr>
              <w:spacing w:after="0"/>
              <w:jc w:val="center"/>
              <w:rPr>
                <w:rFonts w:eastAsia="Nunito" w:cstheme="minorHAnsi"/>
                <w:color w:val="000000" w:themeColor="text1"/>
              </w:rPr>
            </w:pPr>
            <w:r w:rsidRPr="00393F83">
              <w:rPr>
                <w:rFonts w:eastAsia="Nunito" w:cstheme="minorHAnsi"/>
                <w:color w:val="000000" w:themeColor="text1"/>
              </w:rPr>
              <w:t>Vichada</w:t>
            </w:r>
          </w:p>
        </w:tc>
        <w:tc>
          <w:tcPr>
            <w:tcW w:w="2491" w:type="dxa"/>
          </w:tcPr>
          <w:p w:rsidRPr="00393F83" w:rsidR="002870B9" w:rsidP="00D97D31" w:rsidRDefault="002870B9" w14:paraId="25EAF799" w14:textId="133979D1">
            <w:pPr>
              <w:spacing w:after="0"/>
              <w:jc w:val="center"/>
              <w:rPr>
                <w:rFonts w:eastAsia="Nunito" w:cstheme="minorHAnsi"/>
                <w:color w:val="000000" w:themeColor="text1"/>
              </w:rPr>
            </w:pPr>
            <w:r w:rsidRPr="00393F83">
              <w:rPr>
                <w:rFonts w:eastAsia="Nunito" w:cstheme="minorHAnsi"/>
                <w:color w:val="000000" w:themeColor="text1"/>
              </w:rPr>
              <w:t>Puerto Carreño</w:t>
            </w:r>
          </w:p>
        </w:tc>
        <w:tc>
          <w:tcPr>
            <w:tcW w:w="1688" w:type="dxa"/>
          </w:tcPr>
          <w:p w:rsidRPr="00393F83" w:rsidR="002870B9" w:rsidP="00D97D31" w:rsidRDefault="002870B9" w14:paraId="42297156" w14:textId="77777777">
            <w:pPr>
              <w:spacing w:after="0"/>
              <w:jc w:val="center"/>
              <w:rPr>
                <w:rFonts w:eastAsia="Nunito" w:cstheme="minorHAnsi"/>
                <w:color w:val="000000" w:themeColor="text1"/>
              </w:rPr>
            </w:pPr>
            <w:r w:rsidRPr="00393F83">
              <w:rPr>
                <w:rFonts w:eastAsia="Nunito" w:cstheme="minorHAnsi"/>
                <w:color w:val="000000" w:themeColor="text1"/>
              </w:rPr>
              <w:t>191</w:t>
            </w:r>
          </w:p>
        </w:tc>
        <w:tc>
          <w:tcPr>
            <w:tcW w:w="2549" w:type="dxa"/>
          </w:tcPr>
          <w:p w:rsidRPr="00393F83" w:rsidR="002870B9" w:rsidP="00D97D31" w:rsidRDefault="002870B9" w14:paraId="4AEDD864" w14:textId="77777777">
            <w:pPr>
              <w:spacing w:after="0"/>
              <w:jc w:val="center"/>
              <w:rPr>
                <w:rFonts w:eastAsia="Nunito" w:cstheme="minorHAnsi"/>
                <w:color w:val="000000" w:themeColor="text1"/>
              </w:rPr>
            </w:pPr>
            <w:r w:rsidRPr="00393F83">
              <w:rPr>
                <w:rFonts w:eastAsia="Nunito" w:cstheme="minorHAnsi"/>
                <w:color w:val="000000" w:themeColor="text1"/>
              </w:rPr>
              <w:t>$ 8.977.000.000</w:t>
            </w:r>
          </w:p>
        </w:tc>
      </w:tr>
      <w:tr w:rsidRPr="00393F83" w:rsidR="002870B9" w:rsidTr="005C287D" w14:paraId="49004071" w14:textId="77777777">
        <w:trPr>
          <w:trHeight w:val="435"/>
        </w:trPr>
        <w:tc>
          <w:tcPr>
            <w:tcW w:w="547" w:type="dxa"/>
          </w:tcPr>
          <w:p w:rsidRPr="00393F83" w:rsidR="002870B9" w:rsidP="00D97D31" w:rsidRDefault="002870B9" w14:paraId="2DEDB97B" w14:textId="77777777">
            <w:pPr>
              <w:spacing w:after="0"/>
              <w:jc w:val="center"/>
              <w:rPr>
                <w:rFonts w:cstheme="minorHAnsi"/>
              </w:rPr>
            </w:pPr>
            <w:r w:rsidRPr="00393F83">
              <w:rPr>
                <w:rFonts w:eastAsia="Nunito" w:cstheme="minorHAnsi"/>
                <w:color w:val="000000" w:themeColor="text1"/>
              </w:rPr>
              <w:t>14</w:t>
            </w:r>
          </w:p>
        </w:tc>
        <w:tc>
          <w:tcPr>
            <w:tcW w:w="2119" w:type="dxa"/>
          </w:tcPr>
          <w:p w:rsidRPr="00393F83" w:rsidR="002870B9" w:rsidP="00D97D31" w:rsidRDefault="002870B9" w14:paraId="13F16CBE" w14:textId="53ED8951">
            <w:pPr>
              <w:spacing w:after="0"/>
              <w:jc w:val="center"/>
              <w:rPr>
                <w:rFonts w:eastAsia="Nunito" w:cstheme="minorHAnsi"/>
                <w:color w:val="000000" w:themeColor="text1"/>
              </w:rPr>
            </w:pPr>
            <w:r w:rsidRPr="00393F83">
              <w:rPr>
                <w:rFonts w:eastAsia="Nunito" w:cstheme="minorHAnsi"/>
                <w:color w:val="000000" w:themeColor="text1"/>
              </w:rPr>
              <w:t>Chocó</w:t>
            </w:r>
          </w:p>
        </w:tc>
        <w:tc>
          <w:tcPr>
            <w:tcW w:w="2491" w:type="dxa"/>
          </w:tcPr>
          <w:p w:rsidRPr="00393F83" w:rsidR="002870B9" w:rsidP="00D97D31" w:rsidRDefault="002870B9" w14:paraId="2FE56C52" w14:textId="250AC91B">
            <w:pPr>
              <w:spacing w:after="0"/>
              <w:jc w:val="center"/>
              <w:rPr>
                <w:rFonts w:eastAsia="Nunito" w:cstheme="minorHAnsi"/>
                <w:color w:val="000000" w:themeColor="text1"/>
              </w:rPr>
            </w:pPr>
            <w:proofErr w:type="spellStart"/>
            <w:r w:rsidRPr="00393F83">
              <w:rPr>
                <w:rFonts w:eastAsia="Nunito" w:cstheme="minorHAnsi"/>
                <w:color w:val="000000" w:themeColor="text1"/>
              </w:rPr>
              <w:t>Bagado</w:t>
            </w:r>
            <w:proofErr w:type="spellEnd"/>
          </w:p>
        </w:tc>
        <w:tc>
          <w:tcPr>
            <w:tcW w:w="1688" w:type="dxa"/>
          </w:tcPr>
          <w:p w:rsidRPr="00393F83" w:rsidR="002870B9" w:rsidP="00D97D31" w:rsidRDefault="002870B9" w14:paraId="0F796194" w14:textId="77777777">
            <w:pPr>
              <w:spacing w:after="0"/>
              <w:jc w:val="center"/>
              <w:rPr>
                <w:rFonts w:eastAsia="Nunito" w:cstheme="minorHAnsi"/>
                <w:color w:val="000000" w:themeColor="text1"/>
              </w:rPr>
            </w:pPr>
            <w:r w:rsidRPr="00393F83">
              <w:rPr>
                <w:rFonts w:eastAsia="Nunito" w:cstheme="minorHAnsi"/>
                <w:color w:val="000000" w:themeColor="text1"/>
              </w:rPr>
              <w:t>542</w:t>
            </w:r>
          </w:p>
        </w:tc>
        <w:tc>
          <w:tcPr>
            <w:tcW w:w="2549" w:type="dxa"/>
          </w:tcPr>
          <w:p w:rsidRPr="00393F83" w:rsidR="002870B9" w:rsidP="00D97D31" w:rsidRDefault="002870B9" w14:paraId="3EA131CC" w14:textId="77777777">
            <w:pPr>
              <w:spacing w:after="0"/>
              <w:jc w:val="center"/>
              <w:rPr>
                <w:rFonts w:eastAsia="Nunito" w:cstheme="minorHAnsi"/>
                <w:color w:val="000000" w:themeColor="text1"/>
              </w:rPr>
            </w:pPr>
            <w:r w:rsidRPr="00393F83">
              <w:rPr>
                <w:rFonts w:eastAsia="Nunito" w:cstheme="minorHAnsi"/>
                <w:color w:val="000000" w:themeColor="text1"/>
              </w:rPr>
              <w:t>$ 25.474.000.000</w:t>
            </w:r>
          </w:p>
        </w:tc>
      </w:tr>
      <w:tr w:rsidRPr="00393F83" w:rsidR="002870B9" w:rsidTr="005C287D" w14:paraId="4978176C" w14:textId="77777777">
        <w:trPr>
          <w:trHeight w:val="435"/>
        </w:trPr>
        <w:tc>
          <w:tcPr>
            <w:tcW w:w="547" w:type="dxa"/>
          </w:tcPr>
          <w:p w:rsidRPr="00393F83" w:rsidR="002870B9" w:rsidP="00D97D31" w:rsidRDefault="002870B9" w14:paraId="29B50705" w14:textId="77777777">
            <w:pPr>
              <w:spacing w:after="0"/>
              <w:jc w:val="center"/>
              <w:rPr>
                <w:rFonts w:cstheme="minorHAnsi"/>
              </w:rPr>
            </w:pPr>
            <w:r w:rsidRPr="00393F83">
              <w:rPr>
                <w:rFonts w:eastAsia="Nunito" w:cstheme="minorHAnsi"/>
                <w:color w:val="000000" w:themeColor="text1"/>
              </w:rPr>
              <w:t>15</w:t>
            </w:r>
          </w:p>
        </w:tc>
        <w:tc>
          <w:tcPr>
            <w:tcW w:w="2119" w:type="dxa"/>
          </w:tcPr>
          <w:p w:rsidRPr="00393F83" w:rsidR="002870B9" w:rsidP="00D97D31" w:rsidRDefault="002870B9" w14:paraId="20DB07BC" w14:textId="7509D523">
            <w:pPr>
              <w:spacing w:after="0"/>
              <w:jc w:val="center"/>
              <w:rPr>
                <w:rFonts w:eastAsia="Nunito" w:cstheme="minorHAnsi"/>
                <w:color w:val="000000" w:themeColor="text1"/>
              </w:rPr>
            </w:pPr>
            <w:r w:rsidRPr="00393F83">
              <w:rPr>
                <w:rFonts w:eastAsia="Nunito" w:cstheme="minorHAnsi"/>
                <w:color w:val="000000" w:themeColor="text1"/>
              </w:rPr>
              <w:t>Chocó</w:t>
            </w:r>
          </w:p>
        </w:tc>
        <w:tc>
          <w:tcPr>
            <w:tcW w:w="2491" w:type="dxa"/>
          </w:tcPr>
          <w:p w:rsidRPr="00393F83" w:rsidR="002870B9" w:rsidP="00D97D31" w:rsidRDefault="002870B9" w14:paraId="0DC484A0" w14:textId="37BBAF05">
            <w:pPr>
              <w:spacing w:after="0"/>
              <w:jc w:val="center"/>
              <w:rPr>
                <w:rFonts w:eastAsia="Nunito" w:cstheme="minorHAnsi"/>
                <w:color w:val="000000" w:themeColor="text1"/>
              </w:rPr>
            </w:pPr>
            <w:r w:rsidRPr="00393F83">
              <w:rPr>
                <w:rFonts w:eastAsia="Nunito" w:cstheme="minorHAnsi"/>
                <w:color w:val="000000" w:themeColor="text1"/>
              </w:rPr>
              <w:t>Riosucio</w:t>
            </w:r>
          </w:p>
        </w:tc>
        <w:tc>
          <w:tcPr>
            <w:tcW w:w="1688" w:type="dxa"/>
          </w:tcPr>
          <w:p w:rsidRPr="00393F83" w:rsidR="002870B9" w:rsidP="00D97D31" w:rsidRDefault="002870B9" w14:paraId="4720B2FC" w14:textId="77777777">
            <w:pPr>
              <w:spacing w:after="0"/>
              <w:jc w:val="center"/>
              <w:rPr>
                <w:rFonts w:eastAsia="Nunito" w:cstheme="minorHAnsi"/>
                <w:color w:val="000000" w:themeColor="text1"/>
              </w:rPr>
            </w:pPr>
            <w:r w:rsidRPr="00393F83">
              <w:rPr>
                <w:rFonts w:eastAsia="Nunito" w:cstheme="minorHAnsi"/>
                <w:color w:val="000000" w:themeColor="text1"/>
              </w:rPr>
              <w:t>449</w:t>
            </w:r>
          </w:p>
        </w:tc>
        <w:tc>
          <w:tcPr>
            <w:tcW w:w="2549" w:type="dxa"/>
          </w:tcPr>
          <w:p w:rsidRPr="00393F83" w:rsidR="002870B9" w:rsidP="00D97D31" w:rsidRDefault="002870B9" w14:paraId="4C7F449D" w14:textId="77777777">
            <w:pPr>
              <w:spacing w:after="0"/>
              <w:jc w:val="center"/>
              <w:rPr>
                <w:rFonts w:eastAsia="Nunito" w:cstheme="minorHAnsi"/>
                <w:color w:val="000000" w:themeColor="text1"/>
              </w:rPr>
            </w:pPr>
            <w:r w:rsidRPr="00393F83">
              <w:rPr>
                <w:rFonts w:eastAsia="Nunito" w:cstheme="minorHAnsi"/>
                <w:color w:val="000000" w:themeColor="text1"/>
              </w:rPr>
              <w:t>$ 21.103.000.000</w:t>
            </w:r>
          </w:p>
        </w:tc>
      </w:tr>
      <w:tr w:rsidRPr="00393F83" w:rsidR="002870B9" w:rsidTr="005C287D" w14:paraId="1AA49760" w14:textId="77777777">
        <w:trPr>
          <w:trHeight w:val="300"/>
        </w:trPr>
        <w:tc>
          <w:tcPr>
            <w:tcW w:w="547" w:type="dxa"/>
          </w:tcPr>
          <w:p w:rsidRPr="00393F83" w:rsidR="002870B9" w:rsidP="00D97D31" w:rsidRDefault="002870B9" w14:paraId="1F2762A7" w14:textId="77777777">
            <w:pPr>
              <w:spacing w:after="0"/>
              <w:jc w:val="center"/>
              <w:rPr>
                <w:rFonts w:cstheme="minorHAnsi"/>
              </w:rPr>
            </w:pPr>
            <w:r w:rsidRPr="00393F83">
              <w:rPr>
                <w:rFonts w:eastAsia="Nunito" w:cstheme="minorHAnsi"/>
                <w:color w:val="000000" w:themeColor="text1"/>
              </w:rPr>
              <w:t>16</w:t>
            </w:r>
          </w:p>
        </w:tc>
        <w:tc>
          <w:tcPr>
            <w:tcW w:w="2119" w:type="dxa"/>
          </w:tcPr>
          <w:p w:rsidRPr="00393F83" w:rsidR="002870B9" w:rsidP="00D97D31" w:rsidRDefault="002870B9" w14:paraId="45006108" w14:textId="543FBE87">
            <w:pPr>
              <w:spacing w:after="0"/>
              <w:jc w:val="center"/>
              <w:rPr>
                <w:rFonts w:eastAsia="Nunito" w:cstheme="minorHAnsi"/>
                <w:color w:val="000000" w:themeColor="text1"/>
              </w:rPr>
            </w:pPr>
            <w:r w:rsidRPr="00393F83">
              <w:rPr>
                <w:rFonts w:eastAsia="Nunito" w:cstheme="minorHAnsi"/>
                <w:color w:val="000000" w:themeColor="text1"/>
              </w:rPr>
              <w:t>Cauca</w:t>
            </w:r>
          </w:p>
        </w:tc>
        <w:tc>
          <w:tcPr>
            <w:tcW w:w="2491" w:type="dxa"/>
          </w:tcPr>
          <w:p w:rsidRPr="00393F83" w:rsidR="002870B9" w:rsidP="00D97D31" w:rsidRDefault="002870B9" w14:paraId="3A974ADF" w14:textId="64687BA9">
            <w:pPr>
              <w:spacing w:after="0"/>
              <w:jc w:val="center"/>
              <w:rPr>
                <w:rFonts w:eastAsia="Nunito" w:cstheme="minorHAnsi"/>
                <w:color w:val="000000" w:themeColor="text1"/>
              </w:rPr>
            </w:pPr>
            <w:r w:rsidRPr="00393F83">
              <w:rPr>
                <w:rFonts w:eastAsia="Nunito" w:cstheme="minorHAnsi"/>
                <w:color w:val="000000" w:themeColor="text1"/>
              </w:rPr>
              <w:t>Páez</w:t>
            </w:r>
          </w:p>
        </w:tc>
        <w:tc>
          <w:tcPr>
            <w:tcW w:w="1688" w:type="dxa"/>
          </w:tcPr>
          <w:p w:rsidRPr="00393F83" w:rsidR="002870B9" w:rsidP="00D97D31" w:rsidRDefault="002870B9" w14:paraId="5920141E" w14:textId="77777777">
            <w:pPr>
              <w:spacing w:after="0"/>
              <w:jc w:val="center"/>
              <w:rPr>
                <w:rFonts w:eastAsia="Nunito" w:cstheme="minorHAnsi"/>
                <w:color w:val="000000" w:themeColor="text1"/>
              </w:rPr>
            </w:pPr>
            <w:r w:rsidRPr="00393F83">
              <w:rPr>
                <w:rFonts w:eastAsia="Nunito" w:cstheme="minorHAnsi"/>
                <w:color w:val="000000" w:themeColor="text1"/>
              </w:rPr>
              <w:t>550</w:t>
            </w:r>
          </w:p>
        </w:tc>
        <w:tc>
          <w:tcPr>
            <w:tcW w:w="2549" w:type="dxa"/>
          </w:tcPr>
          <w:p w:rsidRPr="00393F83" w:rsidR="002870B9" w:rsidP="00D97D31" w:rsidRDefault="002870B9" w14:paraId="3EB0AB33" w14:textId="77777777">
            <w:pPr>
              <w:spacing w:after="0"/>
              <w:jc w:val="center"/>
              <w:rPr>
                <w:rFonts w:eastAsia="Nunito" w:cstheme="minorHAnsi"/>
                <w:color w:val="000000" w:themeColor="text1"/>
              </w:rPr>
            </w:pPr>
            <w:r w:rsidRPr="00393F83">
              <w:rPr>
                <w:rFonts w:eastAsia="Nunito" w:cstheme="minorHAnsi"/>
                <w:color w:val="000000" w:themeColor="text1"/>
              </w:rPr>
              <w:t>$ 25.850.000.000</w:t>
            </w:r>
          </w:p>
        </w:tc>
      </w:tr>
      <w:tr w:rsidRPr="00393F83" w:rsidR="002870B9" w:rsidTr="005C287D" w14:paraId="391CBA12" w14:textId="77777777">
        <w:trPr>
          <w:trHeight w:val="435"/>
        </w:trPr>
        <w:tc>
          <w:tcPr>
            <w:tcW w:w="547" w:type="dxa"/>
          </w:tcPr>
          <w:p w:rsidRPr="00393F83" w:rsidR="002870B9" w:rsidP="00D97D31" w:rsidRDefault="002870B9" w14:paraId="374FFB2B" w14:textId="77777777">
            <w:pPr>
              <w:spacing w:after="0"/>
              <w:jc w:val="center"/>
              <w:rPr>
                <w:rFonts w:cstheme="minorHAnsi"/>
              </w:rPr>
            </w:pPr>
            <w:r w:rsidRPr="00393F83">
              <w:rPr>
                <w:rFonts w:eastAsia="Nunito" w:cstheme="minorHAnsi"/>
                <w:color w:val="000000" w:themeColor="text1"/>
              </w:rPr>
              <w:t>17</w:t>
            </w:r>
          </w:p>
        </w:tc>
        <w:tc>
          <w:tcPr>
            <w:tcW w:w="2119" w:type="dxa"/>
          </w:tcPr>
          <w:p w:rsidRPr="00393F83" w:rsidR="002870B9" w:rsidP="00D97D31" w:rsidRDefault="002870B9" w14:paraId="12636A6E" w14:textId="01D84775">
            <w:pPr>
              <w:spacing w:after="0"/>
              <w:jc w:val="center"/>
              <w:rPr>
                <w:rFonts w:eastAsia="Nunito" w:cstheme="minorHAnsi"/>
                <w:color w:val="000000" w:themeColor="text1"/>
              </w:rPr>
            </w:pPr>
            <w:r w:rsidRPr="00393F83">
              <w:rPr>
                <w:rFonts w:eastAsia="Nunito" w:cstheme="minorHAnsi"/>
                <w:color w:val="000000" w:themeColor="text1"/>
              </w:rPr>
              <w:t>Chocó</w:t>
            </w:r>
          </w:p>
        </w:tc>
        <w:tc>
          <w:tcPr>
            <w:tcW w:w="2491" w:type="dxa"/>
          </w:tcPr>
          <w:p w:rsidRPr="00393F83" w:rsidR="002870B9" w:rsidP="00D97D31" w:rsidRDefault="002870B9" w14:paraId="0AF6AE38" w14:textId="0833937E">
            <w:pPr>
              <w:spacing w:after="0"/>
              <w:jc w:val="center"/>
              <w:rPr>
                <w:rFonts w:eastAsia="Nunito" w:cstheme="minorHAnsi"/>
                <w:color w:val="000000" w:themeColor="text1"/>
              </w:rPr>
            </w:pPr>
            <w:r w:rsidRPr="00393F83">
              <w:rPr>
                <w:rFonts w:eastAsia="Nunito" w:cstheme="minorHAnsi"/>
                <w:color w:val="000000" w:themeColor="text1"/>
              </w:rPr>
              <w:t>Alto Baudo</w:t>
            </w:r>
          </w:p>
        </w:tc>
        <w:tc>
          <w:tcPr>
            <w:tcW w:w="1688" w:type="dxa"/>
          </w:tcPr>
          <w:p w:rsidRPr="00393F83" w:rsidR="002870B9" w:rsidP="00D97D31" w:rsidRDefault="002870B9" w14:paraId="34864CEC" w14:textId="77777777">
            <w:pPr>
              <w:spacing w:after="0"/>
              <w:jc w:val="center"/>
              <w:rPr>
                <w:rFonts w:eastAsia="Nunito" w:cstheme="minorHAnsi"/>
                <w:color w:val="000000" w:themeColor="text1"/>
              </w:rPr>
            </w:pPr>
            <w:r w:rsidRPr="00393F83">
              <w:rPr>
                <w:rFonts w:eastAsia="Nunito" w:cstheme="minorHAnsi"/>
                <w:color w:val="000000" w:themeColor="text1"/>
              </w:rPr>
              <w:t>441</w:t>
            </w:r>
          </w:p>
        </w:tc>
        <w:tc>
          <w:tcPr>
            <w:tcW w:w="2549" w:type="dxa"/>
          </w:tcPr>
          <w:p w:rsidRPr="00393F83" w:rsidR="002870B9" w:rsidP="00D97D31" w:rsidRDefault="002870B9" w14:paraId="1F41C484" w14:textId="77777777">
            <w:pPr>
              <w:spacing w:after="0"/>
              <w:jc w:val="center"/>
              <w:rPr>
                <w:rFonts w:eastAsia="Nunito" w:cstheme="minorHAnsi"/>
                <w:color w:val="000000" w:themeColor="text1"/>
              </w:rPr>
            </w:pPr>
            <w:r w:rsidRPr="00393F83">
              <w:rPr>
                <w:rFonts w:eastAsia="Nunito" w:cstheme="minorHAnsi"/>
                <w:color w:val="000000" w:themeColor="text1"/>
              </w:rPr>
              <w:t>$ 20.727.000.000</w:t>
            </w:r>
          </w:p>
        </w:tc>
      </w:tr>
      <w:tr w:rsidRPr="00393F83" w:rsidR="002870B9" w:rsidTr="005C287D" w14:paraId="1FD4FFDE" w14:textId="77777777">
        <w:trPr>
          <w:trHeight w:val="341"/>
        </w:trPr>
        <w:tc>
          <w:tcPr>
            <w:tcW w:w="5157" w:type="dxa"/>
            <w:gridSpan w:val="3"/>
            <w:shd w:val="clear" w:color="auto" w:fill="D9E2F3" w:themeFill="accent1" w:themeFillTint="33"/>
          </w:tcPr>
          <w:p w:rsidRPr="00393F83" w:rsidR="002870B9" w:rsidP="00D97D31" w:rsidRDefault="002870B9" w14:paraId="70C9158A" w14:textId="6B7F1C6F">
            <w:pPr>
              <w:spacing w:after="0"/>
              <w:jc w:val="center"/>
              <w:rPr>
                <w:rFonts w:cstheme="minorHAnsi"/>
              </w:rPr>
            </w:pPr>
            <w:r w:rsidRPr="00393F83">
              <w:rPr>
                <w:rFonts w:eastAsia="Nunito" w:cstheme="minorHAnsi"/>
                <w:b/>
                <w:bCs/>
                <w:color w:val="000000" w:themeColor="text1"/>
              </w:rPr>
              <w:t>Total</w:t>
            </w:r>
          </w:p>
        </w:tc>
        <w:tc>
          <w:tcPr>
            <w:tcW w:w="1688" w:type="dxa"/>
            <w:shd w:val="clear" w:color="auto" w:fill="D9E2F3" w:themeFill="accent1" w:themeFillTint="33"/>
          </w:tcPr>
          <w:p w:rsidRPr="00393F83" w:rsidR="002870B9" w:rsidP="00D97D31" w:rsidRDefault="002870B9" w14:paraId="6D4C3FE6" w14:textId="7EE1BE21">
            <w:pPr>
              <w:spacing w:after="0"/>
              <w:jc w:val="center"/>
              <w:rPr>
                <w:rFonts w:eastAsia="Nunito" w:cstheme="minorHAnsi"/>
                <w:b/>
                <w:bCs/>
                <w:color w:val="000000" w:themeColor="text1"/>
              </w:rPr>
            </w:pPr>
            <w:r w:rsidRPr="00393F83">
              <w:rPr>
                <w:rFonts w:eastAsia="Nunito" w:cstheme="minorHAnsi"/>
                <w:b/>
                <w:bCs/>
                <w:color w:val="000000" w:themeColor="text1"/>
              </w:rPr>
              <w:t>3</w:t>
            </w:r>
            <w:r w:rsidR="00393F83">
              <w:rPr>
                <w:rFonts w:eastAsia="Nunito" w:cstheme="minorHAnsi"/>
                <w:b/>
                <w:bCs/>
                <w:color w:val="000000" w:themeColor="text1"/>
              </w:rPr>
              <w:t>.</w:t>
            </w:r>
            <w:r w:rsidRPr="00393F83">
              <w:rPr>
                <w:rFonts w:eastAsia="Nunito" w:cstheme="minorHAnsi"/>
                <w:b/>
                <w:bCs/>
                <w:color w:val="000000" w:themeColor="text1"/>
              </w:rPr>
              <w:t>121</w:t>
            </w:r>
          </w:p>
        </w:tc>
        <w:tc>
          <w:tcPr>
            <w:tcW w:w="2549" w:type="dxa"/>
            <w:shd w:val="clear" w:color="auto" w:fill="D9E2F3" w:themeFill="accent1" w:themeFillTint="33"/>
          </w:tcPr>
          <w:p w:rsidRPr="00393F83" w:rsidR="002870B9" w:rsidP="00D97D31" w:rsidRDefault="002870B9" w14:paraId="213C42A2" w14:textId="77777777">
            <w:pPr>
              <w:spacing w:after="0"/>
              <w:jc w:val="center"/>
              <w:rPr>
                <w:rFonts w:eastAsia="Nunito" w:cstheme="minorHAnsi"/>
                <w:b/>
                <w:bCs/>
                <w:color w:val="000000" w:themeColor="text1"/>
              </w:rPr>
            </w:pPr>
            <w:r w:rsidRPr="00393F83">
              <w:rPr>
                <w:rFonts w:eastAsia="Nunito" w:cstheme="minorHAnsi"/>
                <w:b/>
                <w:bCs/>
                <w:color w:val="000000" w:themeColor="text1"/>
              </w:rPr>
              <w:t>$ 146.687.000.000</w:t>
            </w:r>
          </w:p>
        </w:tc>
      </w:tr>
    </w:tbl>
    <w:p w:rsidRPr="00321473" w:rsidR="005C0974" w:rsidP="00D97D31" w:rsidRDefault="005C0974" w14:paraId="6E81488E" w14:textId="77777777">
      <w:pPr>
        <w:pStyle w:val="ListParagraph"/>
        <w:spacing w:line="276" w:lineRule="auto"/>
        <w:jc w:val="center"/>
        <w:rPr>
          <w:sz w:val="18"/>
          <w:szCs w:val="18"/>
        </w:rPr>
      </w:pPr>
      <w:r w:rsidRPr="00321473">
        <w:rPr>
          <w:b/>
          <w:bCs/>
          <w:i/>
          <w:iCs/>
          <w:sz w:val="18"/>
          <w:szCs w:val="18"/>
        </w:rPr>
        <w:t>Fuente:</w:t>
      </w:r>
      <w:r w:rsidRPr="00321473">
        <w:rPr>
          <w:sz w:val="18"/>
          <w:szCs w:val="18"/>
        </w:rPr>
        <w:t xml:space="preserve"> Elaboración propia, 2026, teniendo en cuenta la información disponible en: </w:t>
      </w:r>
      <w:hyperlink w:history="1" r:id="rId12">
        <w:r w:rsidRPr="00321473">
          <w:rPr>
            <w:sz w:val="18"/>
            <w:szCs w:val="18"/>
          </w:rPr>
          <w:t>https://www.upme.gov.co/ventanilla-unica-servicios/fondos-apoyo-financiero/</w:t>
        </w:r>
      </w:hyperlink>
    </w:p>
    <w:p w:rsidR="00FC7F31" w:rsidP="00D97D31" w:rsidRDefault="00FC7F31" w14:paraId="1AA965B7" w14:textId="3728ADDE">
      <w:pPr>
        <w:spacing w:after="0"/>
        <w:jc w:val="center"/>
        <w:rPr>
          <w:rFonts w:ascii="Calibri" w:hAnsi="Calibri" w:cs="Calibri"/>
          <w:b/>
          <w:bCs/>
        </w:rPr>
      </w:pPr>
      <w:r w:rsidRPr="7BCBBB90">
        <w:rPr>
          <w:rFonts w:ascii="Calibri" w:hAnsi="Calibri" w:cs="Calibri"/>
          <w:b/>
          <w:bCs/>
        </w:rPr>
        <w:t xml:space="preserve">Tabla </w:t>
      </w:r>
      <w:r w:rsidR="00E10255">
        <w:rPr>
          <w:rFonts w:ascii="Calibri" w:hAnsi="Calibri" w:cs="Calibri"/>
          <w:b/>
          <w:bCs/>
        </w:rPr>
        <w:t>17</w:t>
      </w:r>
      <w:r w:rsidRPr="7BCBBB90">
        <w:rPr>
          <w:rFonts w:ascii="Calibri" w:hAnsi="Calibri" w:cs="Calibri"/>
          <w:b/>
          <w:bCs/>
        </w:rPr>
        <w:t xml:space="preserve">. </w:t>
      </w:r>
      <w:r>
        <w:rPr>
          <w:rFonts w:ascii="Calibri" w:hAnsi="Calibri" w:cs="Calibri"/>
          <w:b/>
          <w:bCs/>
        </w:rPr>
        <w:t xml:space="preserve">Proyectos tramitados </w:t>
      </w:r>
      <w:r w:rsidR="00A83BC2">
        <w:rPr>
          <w:rFonts w:ascii="Calibri" w:hAnsi="Calibri" w:cs="Calibri"/>
          <w:b/>
          <w:bCs/>
        </w:rPr>
        <w:t>ante la UPME con concepto FAVORABLE</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6A0" w:firstRow="1" w:lastRow="0" w:firstColumn="1" w:lastColumn="0" w:noHBand="1" w:noVBand="1"/>
      </w:tblPr>
      <w:tblGrid>
        <w:gridCol w:w="583"/>
        <w:gridCol w:w="1993"/>
        <w:gridCol w:w="2580"/>
        <w:gridCol w:w="1694"/>
        <w:gridCol w:w="2544"/>
      </w:tblGrid>
      <w:tr w:rsidRPr="00393F83" w:rsidR="00167C3B" w:rsidTr="000F1336" w14:paraId="6985014F" w14:textId="77777777">
        <w:trPr>
          <w:trHeight w:val="300"/>
        </w:trPr>
        <w:tc>
          <w:tcPr>
            <w:tcW w:w="583" w:type="dxa"/>
            <w:shd w:val="clear" w:color="auto" w:fill="D9E2F3" w:themeFill="accent1" w:themeFillTint="33"/>
          </w:tcPr>
          <w:p w:rsidRPr="00393F83" w:rsidR="00167C3B" w:rsidP="00D97D31" w:rsidRDefault="00393F83" w14:paraId="3D20C673" w14:textId="24009769">
            <w:pPr>
              <w:spacing w:after="0"/>
              <w:jc w:val="center"/>
              <w:rPr>
                <w:rFonts w:eastAsia="Nunito" w:cstheme="minorHAnsi"/>
                <w:b/>
                <w:bCs/>
                <w:color w:val="000000" w:themeColor="text1"/>
              </w:rPr>
            </w:pPr>
            <w:proofErr w:type="spellStart"/>
            <w:r w:rsidRPr="00393F83">
              <w:rPr>
                <w:rFonts w:eastAsia="Nunito" w:cstheme="minorHAnsi"/>
                <w:b/>
                <w:bCs/>
                <w:color w:val="000000" w:themeColor="text1"/>
              </w:rPr>
              <w:t>N°</w:t>
            </w:r>
            <w:proofErr w:type="spellEnd"/>
          </w:p>
        </w:tc>
        <w:tc>
          <w:tcPr>
            <w:tcW w:w="1993" w:type="dxa"/>
            <w:shd w:val="clear" w:color="auto" w:fill="D9E2F3" w:themeFill="accent1" w:themeFillTint="33"/>
          </w:tcPr>
          <w:p w:rsidRPr="00393F83" w:rsidR="00167C3B" w:rsidP="00D97D31" w:rsidRDefault="00393F83" w14:paraId="2D6A021F" w14:textId="442BCD4A">
            <w:pPr>
              <w:spacing w:after="0"/>
              <w:jc w:val="center"/>
              <w:rPr>
                <w:rFonts w:eastAsia="Nunito" w:cstheme="minorHAnsi"/>
                <w:b/>
                <w:bCs/>
                <w:color w:val="000000" w:themeColor="text1"/>
              </w:rPr>
            </w:pPr>
            <w:r w:rsidRPr="00393F83">
              <w:rPr>
                <w:rFonts w:eastAsia="Nunito" w:cstheme="minorHAnsi"/>
                <w:b/>
                <w:bCs/>
                <w:color w:val="000000" w:themeColor="text1"/>
              </w:rPr>
              <w:t>Departamentos</w:t>
            </w:r>
          </w:p>
        </w:tc>
        <w:tc>
          <w:tcPr>
            <w:tcW w:w="2580" w:type="dxa"/>
            <w:shd w:val="clear" w:color="auto" w:fill="D9E2F3" w:themeFill="accent1" w:themeFillTint="33"/>
          </w:tcPr>
          <w:p w:rsidRPr="00393F83" w:rsidR="00167C3B" w:rsidP="00D97D31" w:rsidRDefault="00393F83" w14:paraId="56E018A8" w14:textId="52E6B0F8">
            <w:pPr>
              <w:spacing w:after="0"/>
              <w:jc w:val="center"/>
              <w:rPr>
                <w:rFonts w:eastAsia="Nunito" w:cstheme="minorHAnsi"/>
                <w:b/>
                <w:bCs/>
                <w:color w:val="000000" w:themeColor="text1"/>
              </w:rPr>
            </w:pPr>
            <w:r w:rsidRPr="00393F83">
              <w:rPr>
                <w:rFonts w:eastAsia="Nunito" w:cstheme="minorHAnsi"/>
                <w:b/>
                <w:bCs/>
                <w:color w:val="000000" w:themeColor="text1"/>
              </w:rPr>
              <w:t>Municipios</w:t>
            </w:r>
          </w:p>
        </w:tc>
        <w:tc>
          <w:tcPr>
            <w:tcW w:w="1694" w:type="dxa"/>
            <w:shd w:val="clear" w:color="auto" w:fill="D9E2F3" w:themeFill="accent1" w:themeFillTint="33"/>
          </w:tcPr>
          <w:p w:rsidRPr="00393F83" w:rsidR="00167C3B" w:rsidP="00D97D31" w:rsidRDefault="00393F83" w14:paraId="6E1EC41D" w14:textId="21ACB4AD">
            <w:pPr>
              <w:spacing w:after="0"/>
              <w:jc w:val="center"/>
              <w:rPr>
                <w:rFonts w:eastAsia="Nunito" w:cstheme="minorHAnsi"/>
                <w:b/>
                <w:bCs/>
                <w:color w:val="000000" w:themeColor="text1"/>
              </w:rPr>
            </w:pPr>
            <w:r w:rsidRPr="00393F83">
              <w:rPr>
                <w:rFonts w:eastAsia="Nunito" w:cstheme="minorHAnsi"/>
                <w:b/>
                <w:bCs/>
                <w:color w:val="000000" w:themeColor="text1"/>
              </w:rPr>
              <w:t>Usuarios</w:t>
            </w:r>
          </w:p>
        </w:tc>
        <w:tc>
          <w:tcPr>
            <w:tcW w:w="2544" w:type="dxa"/>
            <w:shd w:val="clear" w:color="auto" w:fill="D9E2F3" w:themeFill="accent1" w:themeFillTint="33"/>
          </w:tcPr>
          <w:p w:rsidRPr="00393F83" w:rsidR="00167C3B" w:rsidP="00D97D31" w:rsidRDefault="00393F83" w14:paraId="2D5679A2" w14:textId="755E07C8">
            <w:pPr>
              <w:spacing w:after="0"/>
              <w:jc w:val="center"/>
              <w:rPr>
                <w:rFonts w:eastAsia="Nunito" w:cstheme="minorHAnsi"/>
                <w:b/>
                <w:bCs/>
                <w:color w:val="000000" w:themeColor="text1"/>
              </w:rPr>
            </w:pPr>
            <w:r w:rsidRPr="00393F83">
              <w:rPr>
                <w:rFonts w:eastAsia="Nunito" w:cstheme="minorHAnsi"/>
                <w:b/>
                <w:bCs/>
                <w:color w:val="000000" w:themeColor="text1"/>
              </w:rPr>
              <w:t>Valor</w:t>
            </w:r>
          </w:p>
        </w:tc>
      </w:tr>
      <w:tr w:rsidRPr="00393F83" w:rsidR="00167C3B" w:rsidTr="000F1336" w14:paraId="265ACCAC" w14:textId="77777777">
        <w:trPr>
          <w:trHeight w:val="420"/>
        </w:trPr>
        <w:tc>
          <w:tcPr>
            <w:tcW w:w="583" w:type="dxa"/>
          </w:tcPr>
          <w:p w:rsidRPr="00393F83" w:rsidR="00167C3B" w:rsidP="00D97D31" w:rsidRDefault="00167C3B" w14:paraId="2E901C27" w14:textId="77777777">
            <w:pPr>
              <w:spacing w:after="0"/>
              <w:jc w:val="center"/>
              <w:rPr>
                <w:rFonts w:eastAsia="Nunito" w:cstheme="minorHAnsi"/>
              </w:rPr>
            </w:pPr>
            <w:r w:rsidRPr="00393F83">
              <w:rPr>
                <w:rFonts w:eastAsia="Nunito" w:cstheme="minorHAnsi"/>
              </w:rPr>
              <w:t>1</w:t>
            </w:r>
          </w:p>
        </w:tc>
        <w:tc>
          <w:tcPr>
            <w:tcW w:w="1993" w:type="dxa"/>
          </w:tcPr>
          <w:p w:rsidRPr="00393F83" w:rsidR="00167C3B" w:rsidP="00D97D31" w:rsidRDefault="00393F83" w14:paraId="6994BF95" w14:textId="24287139">
            <w:pPr>
              <w:spacing w:after="0"/>
              <w:jc w:val="center"/>
              <w:rPr>
                <w:rFonts w:eastAsia="Nunito" w:cstheme="minorHAnsi"/>
              </w:rPr>
            </w:pPr>
            <w:r w:rsidRPr="00393F83">
              <w:rPr>
                <w:rFonts w:eastAsia="Nunito" w:cstheme="minorHAnsi"/>
              </w:rPr>
              <w:t>Nariño</w:t>
            </w:r>
          </w:p>
        </w:tc>
        <w:tc>
          <w:tcPr>
            <w:tcW w:w="2580" w:type="dxa"/>
          </w:tcPr>
          <w:p w:rsidRPr="00393F83" w:rsidR="00167C3B" w:rsidP="00D97D31" w:rsidRDefault="00393F83" w14:paraId="0A86B8E9" w14:textId="2C76FED6">
            <w:pPr>
              <w:spacing w:after="0"/>
              <w:jc w:val="center"/>
              <w:rPr>
                <w:rFonts w:eastAsia="Nunito" w:cstheme="minorHAnsi"/>
              </w:rPr>
            </w:pPr>
            <w:r w:rsidRPr="00393F83">
              <w:rPr>
                <w:rFonts w:eastAsia="Nunito" w:cstheme="minorHAnsi"/>
              </w:rPr>
              <w:t xml:space="preserve">San </w:t>
            </w:r>
            <w:proofErr w:type="spellStart"/>
            <w:r w:rsidRPr="00393F83">
              <w:rPr>
                <w:rFonts w:eastAsia="Nunito" w:cstheme="minorHAnsi"/>
              </w:rPr>
              <w:t>Andres</w:t>
            </w:r>
            <w:proofErr w:type="spellEnd"/>
            <w:r w:rsidRPr="00393F83">
              <w:rPr>
                <w:rFonts w:eastAsia="Nunito" w:cstheme="minorHAnsi"/>
              </w:rPr>
              <w:t xml:space="preserve"> De Tumaco</w:t>
            </w:r>
          </w:p>
        </w:tc>
        <w:tc>
          <w:tcPr>
            <w:tcW w:w="1694" w:type="dxa"/>
          </w:tcPr>
          <w:p w:rsidRPr="00393F83" w:rsidR="00167C3B" w:rsidP="00D97D31" w:rsidRDefault="00167C3B" w14:paraId="6D7066D5" w14:textId="77777777">
            <w:pPr>
              <w:spacing w:after="0"/>
              <w:jc w:val="center"/>
              <w:rPr>
                <w:rFonts w:eastAsia="Nunito" w:cstheme="minorHAnsi"/>
                <w:color w:val="000000" w:themeColor="text1"/>
              </w:rPr>
            </w:pPr>
            <w:r w:rsidRPr="00393F83">
              <w:rPr>
                <w:rFonts w:eastAsia="Nunito" w:cstheme="minorHAnsi"/>
                <w:color w:val="000000" w:themeColor="text1"/>
              </w:rPr>
              <w:t>333</w:t>
            </w:r>
          </w:p>
        </w:tc>
        <w:tc>
          <w:tcPr>
            <w:tcW w:w="2544" w:type="dxa"/>
          </w:tcPr>
          <w:p w:rsidRPr="00393F83" w:rsidR="00167C3B" w:rsidP="00D97D31" w:rsidRDefault="00167C3B" w14:paraId="0C25EF52" w14:textId="01E42240">
            <w:pPr>
              <w:spacing w:after="0"/>
              <w:jc w:val="center"/>
              <w:rPr>
                <w:rFonts w:eastAsia="Nunito" w:cstheme="minorHAnsi"/>
              </w:rPr>
            </w:pPr>
            <w:r w:rsidRPr="00393F83">
              <w:rPr>
                <w:rFonts w:eastAsia="Nunito" w:cstheme="minorHAnsi"/>
              </w:rPr>
              <w:t>$17</w:t>
            </w:r>
            <w:r w:rsidR="00393F83">
              <w:rPr>
                <w:rFonts w:eastAsia="Nunito" w:cstheme="minorHAnsi"/>
              </w:rPr>
              <w:t>.</w:t>
            </w:r>
            <w:r w:rsidRPr="00393F83">
              <w:rPr>
                <w:rFonts w:eastAsia="Nunito" w:cstheme="minorHAnsi"/>
              </w:rPr>
              <w:t>652</w:t>
            </w:r>
            <w:r w:rsidR="00393F83">
              <w:rPr>
                <w:rFonts w:eastAsia="Nunito" w:cstheme="minorHAnsi"/>
              </w:rPr>
              <w:t>.</w:t>
            </w:r>
            <w:r w:rsidRPr="00393F83">
              <w:rPr>
                <w:rFonts w:eastAsia="Nunito" w:cstheme="minorHAnsi"/>
              </w:rPr>
              <w:t>015</w:t>
            </w:r>
            <w:r w:rsidR="00393F83">
              <w:rPr>
                <w:rFonts w:eastAsia="Nunito" w:cstheme="minorHAnsi"/>
              </w:rPr>
              <w:t>.</w:t>
            </w:r>
            <w:r w:rsidRPr="00393F83">
              <w:rPr>
                <w:rFonts w:eastAsia="Nunito" w:cstheme="minorHAnsi"/>
              </w:rPr>
              <w:t>435</w:t>
            </w:r>
          </w:p>
        </w:tc>
      </w:tr>
      <w:tr w:rsidRPr="00393F83" w:rsidR="00167C3B" w:rsidTr="000F1336" w14:paraId="0358977A" w14:textId="77777777">
        <w:trPr>
          <w:trHeight w:val="315"/>
        </w:trPr>
        <w:tc>
          <w:tcPr>
            <w:tcW w:w="583" w:type="dxa"/>
          </w:tcPr>
          <w:p w:rsidRPr="00393F83" w:rsidR="00167C3B" w:rsidP="00D97D31" w:rsidRDefault="00167C3B" w14:paraId="046A9896" w14:textId="77777777">
            <w:pPr>
              <w:spacing w:after="0"/>
              <w:jc w:val="center"/>
              <w:rPr>
                <w:rFonts w:eastAsia="Nunito" w:cstheme="minorHAnsi"/>
              </w:rPr>
            </w:pPr>
            <w:r w:rsidRPr="00393F83">
              <w:rPr>
                <w:rFonts w:eastAsia="Nunito" w:cstheme="minorHAnsi"/>
              </w:rPr>
              <w:t>2</w:t>
            </w:r>
          </w:p>
        </w:tc>
        <w:tc>
          <w:tcPr>
            <w:tcW w:w="1993" w:type="dxa"/>
          </w:tcPr>
          <w:p w:rsidRPr="00393F83" w:rsidR="00167C3B" w:rsidP="00D97D31" w:rsidRDefault="00393F83" w14:paraId="086C6B84" w14:textId="66CBFB05">
            <w:pPr>
              <w:spacing w:after="0"/>
              <w:jc w:val="center"/>
              <w:rPr>
                <w:rFonts w:eastAsia="Nunito" w:cstheme="minorHAnsi"/>
              </w:rPr>
            </w:pPr>
            <w:r w:rsidRPr="00393F83">
              <w:rPr>
                <w:rFonts w:eastAsia="Nunito" w:cstheme="minorHAnsi"/>
              </w:rPr>
              <w:t>Nariño</w:t>
            </w:r>
          </w:p>
        </w:tc>
        <w:tc>
          <w:tcPr>
            <w:tcW w:w="2580" w:type="dxa"/>
          </w:tcPr>
          <w:p w:rsidRPr="00393F83" w:rsidR="00167C3B" w:rsidP="00D97D31" w:rsidRDefault="00393F83" w14:paraId="42656332" w14:textId="098E0C53">
            <w:pPr>
              <w:spacing w:after="0"/>
              <w:jc w:val="center"/>
              <w:rPr>
                <w:rFonts w:eastAsia="Nunito" w:cstheme="minorHAnsi"/>
              </w:rPr>
            </w:pPr>
            <w:r w:rsidRPr="00393F83">
              <w:rPr>
                <w:rFonts w:eastAsia="Nunito" w:cstheme="minorHAnsi"/>
              </w:rPr>
              <w:t>Barbacoas</w:t>
            </w:r>
          </w:p>
        </w:tc>
        <w:tc>
          <w:tcPr>
            <w:tcW w:w="1694" w:type="dxa"/>
          </w:tcPr>
          <w:p w:rsidRPr="00393F83" w:rsidR="00167C3B" w:rsidP="00D97D31" w:rsidRDefault="00167C3B" w14:paraId="469B5080" w14:textId="77777777">
            <w:pPr>
              <w:spacing w:after="0"/>
              <w:jc w:val="center"/>
              <w:rPr>
                <w:rFonts w:eastAsia="Nunito" w:cstheme="minorHAnsi"/>
                <w:color w:val="000000" w:themeColor="text1"/>
              </w:rPr>
            </w:pPr>
            <w:r w:rsidRPr="00393F83">
              <w:rPr>
                <w:rFonts w:eastAsia="Nunito" w:cstheme="minorHAnsi"/>
                <w:color w:val="000000" w:themeColor="text1"/>
              </w:rPr>
              <w:t>376</w:t>
            </w:r>
          </w:p>
        </w:tc>
        <w:tc>
          <w:tcPr>
            <w:tcW w:w="2544" w:type="dxa"/>
          </w:tcPr>
          <w:p w:rsidRPr="00393F83" w:rsidR="00167C3B" w:rsidP="00D97D31" w:rsidRDefault="00167C3B" w14:paraId="4F6C2873" w14:textId="6148D726">
            <w:pPr>
              <w:spacing w:after="0"/>
              <w:jc w:val="center"/>
              <w:rPr>
                <w:rFonts w:eastAsia="Nunito" w:cstheme="minorHAnsi"/>
              </w:rPr>
            </w:pPr>
            <w:r w:rsidRPr="00393F83">
              <w:rPr>
                <w:rFonts w:eastAsia="Nunito" w:cstheme="minorHAnsi"/>
              </w:rPr>
              <w:t>$18</w:t>
            </w:r>
            <w:r w:rsidR="00393F83">
              <w:rPr>
                <w:rFonts w:eastAsia="Nunito" w:cstheme="minorHAnsi"/>
              </w:rPr>
              <w:t>.</w:t>
            </w:r>
            <w:r w:rsidRPr="00393F83">
              <w:rPr>
                <w:rFonts w:eastAsia="Nunito" w:cstheme="minorHAnsi"/>
              </w:rPr>
              <w:t>991</w:t>
            </w:r>
            <w:r w:rsidR="00393F83">
              <w:rPr>
                <w:rFonts w:eastAsia="Nunito" w:cstheme="minorHAnsi"/>
              </w:rPr>
              <w:t>.</w:t>
            </w:r>
            <w:r w:rsidRPr="00393F83">
              <w:rPr>
                <w:rFonts w:eastAsia="Nunito" w:cstheme="minorHAnsi"/>
              </w:rPr>
              <w:t>539</w:t>
            </w:r>
            <w:r w:rsidR="00393F83">
              <w:rPr>
                <w:rFonts w:eastAsia="Nunito" w:cstheme="minorHAnsi"/>
              </w:rPr>
              <w:t>.</w:t>
            </w:r>
            <w:r w:rsidRPr="00393F83">
              <w:rPr>
                <w:rFonts w:eastAsia="Nunito" w:cstheme="minorHAnsi"/>
              </w:rPr>
              <w:t>564</w:t>
            </w:r>
          </w:p>
        </w:tc>
      </w:tr>
      <w:tr w:rsidRPr="00393F83" w:rsidR="00167C3B" w:rsidTr="000F1336" w14:paraId="61479036" w14:textId="77777777">
        <w:trPr>
          <w:trHeight w:val="360"/>
        </w:trPr>
        <w:tc>
          <w:tcPr>
            <w:tcW w:w="583" w:type="dxa"/>
          </w:tcPr>
          <w:p w:rsidRPr="00393F83" w:rsidR="00167C3B" w:rsidP="00D97D31" w:rsidRDefault="00167C3B" w14:paraId="78B7D2AC" w14:textId="77777777">
            <w:pPr>
              <w:spacing w:after="0"/>
              <w:jc w:val="center"/>
              <w:rPr>
                <w:rFonts w:eastAsia="Nunito" w:cstheme="minorHAnsi"/>
              </w:rPr>
            </w:pPr>
            <w:r w:rsidRPr="00393F83">
              <w:rPr>
                <w:rFonts w:eastAsia="Nunito" w:cstheme="minorHAnsi"/>
              </w:rPr>
              <w:t>3</w:t>
            </w:r>
          </w:p>
        </w:tc>
        <w:tc>
          <w:tcPr>
            <w:tcW w:w="1993" w:type="dxa"/>
          </w:tcPr>
          <w:p w:rsidRPr="00393F83" w:rsidR="00167C3B" w:rsidP="00D97D31" w:rsidRDefault="00393F83" w14:paraId="3F1A08E5" w14:textId="02495040">
            <w:pPr>
              <w:spacing w:after="0"/>
              <w:jc w:val="center"/>
              <w:rPr>
                <w:rFonts w:eastAsia="Nunito" w:cstheme="minorHAnsi"/>
              </w:rPr>
            </w:pPr>
            <w:r w:rsidRPr="00393F83">
              <w:rPr>
                <w:rFonts w:eastAsia="Nunito" w:cstheme="minorHAnsi"/>
              </w:rPr>
              <w:t>Nariño</w:t>
            </w:r>
          </w:p>
        </w:tc>
        <w:tc>
          <w:tcPr>
            <w:tcW w:w="2580" w:type="dxa"/>
          </w:tcPr>
          <w:p w:rsidRPr="00393F83" w:rsidR="00167C3B" w:rsidP="00D97D31" w:rsidRDefault="00393F83" w14:paraId="64D40F22" w14:textId="5C536973">
            <w:pPr>
              <w:spacing w:after="0"/>
              <w:jc w:val="center"/>
              <w:rPr>
                <w:rFonts w:eastAsia="Nunito" w:cstheme="minorHAnsi"/>
              </w:rPr>
            </w:pPr>
            <w:r w:rsidRPr="00393F83">
              <w:rPr>
                <w:rFonts w:eastAsia="Nunito" w:cstheme="minorHAnsi"/>
              </w:rPr>
              <w:t>Varios</w:t>
            </w:r>
          </w:p>
        </w:tc>
        <w:tc>
          <w:tcPr>
            <w:tcW w:w="1694" w:type="dxa"/>
          </w:tcPr>
          <w:p w:rsidRPr="00393F83" w:rsidR="00167C3B" w:rsidP="00D97D31" w:rsidRDefault="00167C3B" w14:paraId="3655724E" w14:textId="77777777">
            <w:pPr>
              <w:spacing w:after="0"/>
              <w:jc w:val="center"/>
              <w:rPr>
                <w:rFonts w:eastAsia="Nunito" w:cstheme="minorHAnsi"/>
                <w:color w:val="000000" w:themeColor="text1"/>
              </w:rPr>
            </w:pPr>
            <w:r w:rsidRPr="00393F83">
              <w:rPr>
                <w:rFonts w:eastAsia="Nunito" w:cstheme="minorHAnsi"/>
                <w:color w:val="000000" w:themeColor="text1"/>
              </w:rPr>
              <w:t>799</w:t>
            </w:r>
          </w:p>
        </w:tc>
        <w:tc>
          <w:tcPr>
            <w:tcW w:w="2544" w:type="dxa"/>
          </w:tcPr>
          <w:p w:rsidRPr="00393F83" w:rsidR="00167C3B" w:rsidP="00D97D31" w:rsidRDefault="00167C3B" w14:paraId="070EE3D8" w14:textId="3676DB51">
            <w:pPr>
              <w:spacing w:after="0"/>
              <w:jc w:val="center"/>
              <w:rPr>
                <w:rFonts w:eastAsia="Nunito" w:cstheme="minorHAnsi"/>
              </w:rPr>
            </w:pPr>
            <w:r w:rsidRPr="00393F83">
              <w:rPr>
                <w:rFonts w:eastAsia="Nunito" w:cstheme="minorHAnsi"/>
              </w:rPr>
              <w:t>$53</w:t>
            </w:r>
            <w:r w:rsidR="00393F83">
              <w:rPr>
                <w:rFonts w:eastAsia="Nunito" w:cstheme="minorHAnsi"/>
              </w:rPr>
              <w:t>.</w:t>
            </w:r>
            <w:r w:rsidRPr="00393F83">
              <w:rPr>
                <w:rFonts w:eastAsia="Nunito" w:cstheme="minorHAnsi"/>
              </w:rPr>
              <w:t>316</w:t>
            </w:r>
            <w:r w:rsidR="00393F83">
              <w:rPr>
                <w:rFonts w:eastAsia="Nunito" w:cstheme="minorHAnsi"/>
              </w:rPr>
              <w:t>.</w:t>
            </w:r>
            <w:r w:rsidRPr="00393F83">
              <w:rPr>
                <w:rFonts w:eastAsia="Nunito" w:cstheme="minorHAnsi"/>
              </w:rPr>
              <w:t>376</w:t>
            </w:r>
            <w:r w:rsidR="00393F83">
              <w:rPr>
                <w:rFonts w:eastAsia="Nunito" w:cstheme="minorHAnsi"/>
              </w:rPr>
              <w:t>.</w:t>
            </w:r>
            <w:r w:rsidRPr="00393F83">
              <w:rPr>
                <w:rFonts w:eastAsia="Nunito" w:cstheme="minorHAnsi"/>
              </w:rPr>
              <w:t>930</w:t>
            </w:r>
          </w:p>
        </w:tc>
      </w:tr>
      <w:tr w:rsidRPr="00393F83" w:rsidR="00167C3B" w:rsidTr="000F1336" w14:paraId="6BAAD6DC" w14:textId="77777777">
        <w:trPr>
          <w:trHeight w:val="300"/>
        </w:trPr>
        <w:tc>
          <w:tcPr>
            <w:tcW w:w="583" w:type="dxa"/>
          </w:tcPr>
          <w:p w:rsidRPr="00393F83" w:rsidR="00167C3B" w:rsidP="00D97D31" w:rsidRDefault="00167C3B" w14:paraId="1174510B" w14:textId="77777777">
            <w:pPr>
              <w:spacing w:after="0"/>
              <w:jc w:val="center"/>
              <w:rPr>
                <w:rFonts w:eastAsia="Nunito" w:cstheme="minorHAnsi"/>
              </w:rPr>
            </w:pPr>
            <w:r w:rsidRPr="00393F83">
              <w:rPr>
                <w:rFonts w:eastAsia="Nunito" w:cstheme="minorHAnsi"/>
              </w:rPr>
              <w:t>4</w:t>
            </w:r>
          </w:p>
        </w:tc>
        <w:tc>
          <w:tcPr>
            <w:tcW w:w="1993" w:type="dxa"/>
          </w:tcPr>
          <w:p w:rsidRPr="00393F83" w:rsidR="00167C3B" w:rsidP="00D97D31" w:rsidRDefault="00393F83" w14:paraId="3655DC47" w14:textId="5979BFCC">
            <w:pPr>
              <w:spacing w:after="0"/>
              <w:jc w:val="center"/>
              <w:rPr>
                <w:rFonts w:eastAsia="Nunito" w:cstheme="minorHAnsi"/>
              </w:rPr>
            </w:pPr>
            <w:proofErr w:type="spellStart"/>
            <w:r w:rsidRPr="00393F83">
              <w:rPr>
                <w:rFonts w:eastAsia="Nunito" w:cstheme="minorHAnsi"/>
              </w:rPr>
              <w:t>Caqueta</w:t>
            </w:r>
            <w:proofErr w:type="spellEnd"/>
          </w:p>
        </w:tc>
        <w:tc>
          <w:tcPr>
            <w:tcW w:w="2580" w:type="dxa"/>
          </w:tcPr>
          <w:p w:rsidRPr="00393F83" w:rsidR="00167C3B" w:rsidP="00D97D31" w:rsidRDefault="00393F83" w14:paraId="16F05BFF" w14:textId="0FCC2DF1">
            <w:pPr>
              <w:spacing w:after="0"/>
              <w:jc w:val="center"/>
              <w:rPr>
                <w:rFonts w:eastAsia="Nunito" w:cstheme="minorHAnsi"/>
              </w:rPr>
            </w:pPr>
            <w:r w:rsidRPr="00393F83">
              <w:rPr>
                <w:rFonts w:eastAsia="Nunito" w:cstheme="minorHAnsi"/>
              </w:rPr>
              <w:t>San Vicente Del Caguan</w:t>
            </w:r>
          </w:p>
        </w:tc>
        <w:tc>
          <w:tcPr>
            <w:tcW w:w="1694" w:type="dxa"/>
          </w:tcPr>
          <w:p w:rsidRPr="00393F83" w:rsidR="00167C3B" w:rsidP="00D97D31" w:rsidRDefault="00167C3B" w14:paraId="1E061510" w14:textId="77777777">
            <w:pPr>
              <w:spacing w:after="0"/>
              <w:jc w:val="center"/>
              <w:rPr>
                <w:rFonts w:eastAsia="Nunito" w:cstheme="minorHAnsi"/>
                <w:color w:val="000000" w:themeColor="text1"/>
              </w:rPr>
            </w:pPr>
            <w:r w:rsidRPr="00393F83">
              <w:rPr>
                <w:rFonts w:eastAsia="Nunito" w:cstheme="minorHAnsi"/>
                <w:color w:val="000000" w:themeColor="text1"/>
              </w:rPr>
              <w:t>601</w:t>
            </w:r>
          </w:p>
        </w:tc>
        <w:tc>
          <w:tcPr>
            <w:tcW w:w="2544" w:type="dxa"/>
          </w:tcPr>
          <w:p w:rsidRPr="00393F83" w:rsidR="00167C3B" w:rsidP="00D97D31" w:rsidRDefault="00167C3B" w14:paraId="6A62CEF7" w14:textId="0C838BBD">
            <w:pPr>
              <w:spacing w:after="0"/>
              <w:jc w:val="center"/>
              <w:rPr>
                <w:rFonts w:eastAsia="Nunito" w:cstheme="minorHAnsi"/>
              </w:rPr>
            </w:pPr>
            <w:r w:rsidRPr="00393F83">
              <w:rPr>
                <w:rFonts w:eastAsia="Nunito" w:cstheme="minorHAnsi"/>
              </w:rPr>
              <w:t>$36</w:t>
            </w:r>
            <w:r w:rsidR="00393F83">
              <w:rPr>
                <w:rFonts w:eastAsia="Nunito" w:cstheme="minorHAnsi"/>
              </w:rPr>
              <w:t>.</w:t>
            </w:r>
            <w:r w:rsidRPr="00393F83">
              <w:rPr>
                <w:rFonts w:eastAsia="Nunito" w:cstheme="minorHAnsi"/>
              </w:rPr>
              <w:t>752</w:t>
            </w:r>
            <w:r w:rsidR="00393F83">
              <w:rPr>
                <w:rFonts w:eastAsia="Nunito" w:cstheme="minorHAnsi"/>
              </w:rPr>
              <w:t>.</w:t>
            </w:r>
            <w:r w:rsidRPr="00393F83">
              <w:rPr>
                <w:rFonts w:eastAsia="Nunito" w:cstheme="minorHAnsi"/>
              </w:rPr>
              <w:t>153</w:t>
            </w:r>
            <w:r w:rsidR="00393F83">
              <w:rPr>
                <w:rFonts w:eastAsia="Nunito" w:cstheme="minorHAnsi"/>
              </w:rPr>
              <w:t>.</w:t>
            </w:r>
            <w:r w:rsidRPr="00393F83">
              <w:rPr>
                <w:rFonts w:eastAsia="Nunito" w:cstheme="minorHAnsi"/>
              </w:rPr>
              <w:t>341</w:t>
            </w:r>
          </w:p>
        </w:tc>
      </w:tr>
      <w:tr w:rsidRPr="00393F83" w:rsidR="00167C3B" w:rsidTr="000F1336" w14:paraId="7E0D919E" w14:textId="77777777">
        <w:trPr>
          <w:trHeight w:val="360"/>
        </w:trPr>
        <w:tc>
          <w:tcPr>
            <w:tcW w:w="583" w:type="dxa"/>
          </w:tcPr>
          <w:p w:rsidRPr="00393F83" w:rsidR="00167C3B" w:rsidP="00D97D31" w:rsidRDefault="00167C3B" w14:paraId="14019CCD" w14:textId="77777777">
            <w:pPr>
              <w:spacing w:after="0"/>
              <w:jc w:val="center"/>
              <w:rPr>
                <w:rFonts w:eastAsia="Nunito" w:cstheme="minorHAnsi"/>
              </w:rPr>
            </w:pPr>
            <w:r w:rsidRPr="00393F83">
              <w:rPr>
                <w:rFonts w:eastAsia="Nunito" w:cstheme="minorHAnsi"/>
              </w:rPr>
              <w:t>5</w:t>
            </w:r>
          </w:p>
        </w:tc>
        <w:tc>
          <w:tcPr>
            <w:tcW w:w="1993" w:type="dxa"/>
          </w:tcPr>
          <w:p w:rsidRPr="00393F83" w:rsidR="00167C3B" w:rsidP="00D97D31" w:rsidRDefault="00393F83" w14:paraId="1CE92716" w14:textId="7620D4A1">
            <w:pPr>
              <w:spacing w:after="0"/>
              <w:jc w:val="center"/>
              <w:rPr>
                <w:rFonts w:eastAsia="Nunito" w:cstheme="minorHAnsi"/>
              </w:rPr>
            </w:pPr>
            <w:proofErr w:type="spellStart"/>
            <w:r w:rsidRPr="00393F83">
              <w:rPr>
                <w:rFonts w:eastAsia="Nunito" w:cstheme="minorHAnsi"/>
              </w:rPr>
              <w:t>Caqueta</w:t>
            </w:r>
            <w:proofErr w:type="spellEnd"/>
          </w:p>
        </w:tc>
        <w:tc>
          <w:tcPr>
            <w:tcW w:w="2580" w:type="dxa"/>
          </w:tcPr>
          <w:p w:rsidRPr="00393F83" w:rsidR="00167C3B" w:rsidP="00D97D31" w:rsidRDefault="00393F83" w14:paraId="378D3CD4" w14:textId="21751A39">
            <w:pPr>
              <w:spacing w:after="0"/>
              <w:jc w:val="center"/>
              <w:rPr>
                <w:rFonts w:eastAsia="Nunito" w:cstheme="minorHAnsi"/>
              </w:rPr>
            </w:pPr>
            <w:r w:rsidRPr="00393F83">
              <w:rPr>
                <w:rFonts w:eastAsia="Nunito" w:cstheme="minorHAnsi"/>
              </w:rPr>
              <w:t>La Montañita</w:t>
            </w:r>
          </w:p>
        </w:tc>
        <w:tc>
          <w:tcPr>
            <w:tcW w:w="1694" w:type="dxa"/>
          </w:tcPr>
          <w:p w:rsidRPr="00393F83" w:rsidR="00167C3B" w:rsidP="00D97D31" w:rsidRDefault="00167C3B" w14:paraId="40634F95" w14:textId="77777777">
            <w:pPr>
              <w:spacing w:after="0"/>
              <w:jc w:val="center"/>
              <w:rPr>
                <w:rFonts w:eastAsia="Nunito" w:cstheme="minorHAnsi"/>
                <w:color w:val="000000" w:themeColor="text1"/>
              </w:rPr>
            </w:pPr>
            <w:r w:rsidRPr="00393F83">
              <w:rPr>
                <w:rFonts w:eastAsia="Nunito" w:cstheme="minorHAnsi"/>
                <w:color w:val="000000" w:themeColor="text1"/>
              </w:rPr>
              <w:t>263</w:t>
            </w:r>
          </w:p>
        </w:tc>
        <w:tc>
          <w:tcPr>
            <w:tcW w:w="2544" w:type="dxa"/>
          </w:tcPr>
          <w:p w:rsidRPr="00393F83" w:rsidR="00167C3B" w:rsidP="00D97D31" w:rsidRDefault="00167C3B" w14:paraId="3CF0D44E" w14:textId="50AB01FA">
            <w:pPr>
              <w:spacing w:after="0"/>
              <w:jc w:val="center"/>
              <w:rPr>
                <w:rFonts w:eastAsia="Nunito" w:cstheme="minorHAnsi"/>
              </w:rPr>
            </w:pPr>
            <w:r w:rsidRPr="00393F83">
              <w:rPr>
                <w:rFonts w:eastAsia="Nunito" w:cstheme="minorHAnsi"/>
              </w:rPr>
              <w:t>$10</w:t>
            </w:r>
            <w:r w:rsidR="00393F83">
              <w:rPr>
                <w:rFonts w:eastAsia="Nunito" w:cstheme="minorHAnsi"/>
              </w:rPr>
              <w:t>.</w:t>
            </w:r>
            <w:r w:rsidRPr="00393F83">
              <w:rPr>
                <w:rFonts w:eastAsia="Nunito" w:cstheme="minorHAnsi"/>
              </w:rPr>
              <w:t>265</w:t>
            </w:r>
            <w:r w:rsidR="00393F83">
              <w:rPr>
                <w:rFonts w:eastAsia="Nunito" w:cstheme="minorHAnsi"/>
              </w:rPr>
              <w:t>.</w:t>
            </w:r>
            <w:r w:rsidRPr="00393F83">
              <w:rPr>
                <w:rFonts w:eastAsia="Nunito" w:cstheme="minorHAnsi"/>
              </w:rPr>
              <w:t>298</w:t>
            </w:r>
            <w:r w:rsidR="00393F83">
              <w:rPr>
                <w:rFonts w:eastAsia="Nunito" w:cstheme="minorHAnsi"/>
              </w:rPr>
              <w:t>.</w:t>
            </w:r>
            <w:r w:rsidRPr="00393F83">
              <w:rPr>
                <w:rFonts w:eastAsia="Nunito" w:cstheme="minorHAnsi"/>
              </w:rPr>
              <w:t>282</w:t>
            </w:r>
            <w:r w:rsidR="00393F83">
              <w:rPr>
                <w:rFonts w:eastAsia="Nunito" w:cstheme="minorHAnsi"/>
              </w:rPr>
              <w:t>,</w:t>
            </w:r>
            <w:r w:rsidRPr="00393F83">
              <w:rPr>
                <w:rFonts w:eastAsia="Nunito" w:cstheme="minorHAnsi"/>
              </w:rPr>
              <w:t>55</w:t>
            </w:r>
          </w:p>
        </w:tc>
      </w:tr>
      <w:tr w:rsidRPr="00393F83" w:rsidR="00167C3B" w:rsidTr="000F1336" w14:paraId="55C601BE" w14:textId="77777777">
        <w:trPr>
          <w:trHeight w:val="300"/>
        </w:trPr>
        <w:tc>
          <w:tcPr>
            <w:tcW w:w="583" w:type="dxa"/>
          </w:tcPr>
          <w:p w:rsidRPr="00393F83" w:rsidR="00167C3B" w:rsidP="00D97D31" w:rsidRDefault="00167C3B" w14:paraId="69986011" w14:textId="77777777">
            <w:pPr>
              <w:spacing w:after="0"/>
              <w:jc w:val="center"/>
              <w:rPr>
                <w:rFonts w:eastAsia="Nunito" w:cstheme="minorHAnsi"/>
              </w:rPr>
            </w:pPr>
            <w:r w:rsidRPr="00393F83">
              <w:rPr>
                <w:rFonts w:eastAsia="Nunito" w:cstheme="minorHAnsi"/>
              </w:rPr>
              <w:t>6</w:t>
            </w:r>
          </w:p>
        </w:tc>
        <w:tc>
          <w:tcPr>
            <w:tcW w:w="1993" w:type="dxa"/>
          </w:tcPr>
          <w:p w:rsidRPr="00393F83" w:rsidR="00167C3B" w:rsidP="00D97D31" w:rsidRDefault="00393F83" w14:paraId="15AA6E2E" w14:textId="387BE8BD">
            <w:pPr>
              <w:spacing w:after="0"/>
              <w:jc w:val="center"/>
              <w:rPr>
                <w:rFonts w:eastAsia="Nunito" w:cstheme="minorHAnsi"/>
              </w:rPr>
            </w:pPr>
            <w:r w:rsidRPr="00393F83">
              <w:rPr>
                <w:rFonts w:eastAsia="Nunito" w:cstheme="minorHAnsi"/>
              </w:rPr>
              <w:t>Choco</w:t>
            </w:r>
          </w:p>
        </w:tc>
        <w:tc>
          <w:tcPr>
            <w:tcW w:w="2580" w:type="dxa"/>
          </w:tcPr>
          <w:p w:rsidRPr="00393F83" w:rsidR="00167C3B" w:rsidP="00D97D31" w:rsidRDefault="00393F83" w14:paraId="465193CE" w14:textId="7F371ACD">
            <w:pPr>
              <w:spacing w:after="0"/>
              <w:jc w:val="center"/>
              <w:rPr>
                <w:rFonts w:eastAsia="Nunito" w:cstheme="minorHAnsi"/>
              </w:rPr>
            </w:pPr>
            <w:r w:rsidRPr="00393F83">
              <w:rPr>
                <w:rFonts w:eastAsia="Nunito" w:cstheme="minorHAnsi"/>
              </w:rPr>
              <w:t>Varios</w:t>
            </w:r>
          </w:p>
        </w:tc>
        <w:tc>
          <w:tcPr>
            <w:tcW w:w="1694" w:type="dxa"/>
          </w:tcPr>
          <w:p w:rsidRPr="00393F83" w:rsidR="00167C3B" w:rsidP="00D97D31" w:rsidRDefault="00167C3B" w14:paraId="42A02F69" w14:textId="77777777">
            <w:pPr>
              <w:spacing w:after="0"/>
              <w:jc w:val="center"/>
              <w:rPr>
                <w:rFonts w:eastAsia="Nunito" w:cstheme="minorHAnsi"/>
              </w:rPr>
            </w:pPr>
            <w:r w:rsidRPr="00393F83">
              <w:rPr>
                <w:rFonts w:eastAsia="Nunito" w:cstheme="minorHAnsi"/>
              </w:rPr>
              <w:t>3.142</w:t>
            </w:r>
          </w:p>
        </w:tc>
        <w:tc>
          <w:tcPr>
            <w:tcW w:w="2544" w:type="dxa"/>
          </w:tcPr>
          <w:p w:rsidRPr="00393F83" w:rsidR="00167C3B" w:rsidP="00D97D31" w:rsidRDefault="00167C3B" w14:paraId="1647A65D" w14:textId="6C7FE250">
            <w:pPr>
              <w:spacing w:after="0"/>
              <w:jc w:val="center"/>
              <w:rPr>
                <w:rFonts w:eastAsia="Nunito" w:cstheme="minorHAnsi"/>
              </w:rPr>
            </w:pPr>
            <w:r w:rsidRPr="00393F83">
              <w:rPr>
                <w:rFonts w:eastAsia="Nunito" w:cstheme="minorHAnsi"/>
              </w:rPr>
              <w:t>$134</w:t>
            </w:r>
            <w:r w:rsidR="00393F83">
              <w:rPr>
                <w:rFonts w:eastAsia="Nunito" w:cstheme="minorHAnsi"/>
              </w:rPr>
              <w:t>.</w:t>
            </w:r>
            <w:r w:rsidRPr="00393F83">
              <w:rPr>
                <w:rFonts w:eastAsia="Nunito" w:cstheme="minorHAnsi"/>
              </w:rPr>
              <w:t>740</w:t>
            </w:r>
            <w:r w:rsidR="00393F83">
              <w:rPr>
                <w:rFonts w:eastAsia="Nunito" w:cstheme="minorHAnsi"/>
              </w:rPr>
              <w:t>.</w:t>
            </w:r>
            <w:r w:rsidRPr="00393F83">
              <w:rPr>
                <w:rFonts w:eastAsia="Nunito" w:cstheme="minorHAnsi"/>
              </w:rPr>
              <w:t>315</w:t>
            </w:r>
            <w:r w:rsidR="00393F83">
              <w:rPr>
                <w:rFonts w:eastAsia="Nunito" w:cstheme="minorHAnsi"/>
              </w:rPr>
              <w:t>.</w:t>
            </w:r>
            <w:r w:rsidRPr="00393F83">
              <w:rPr>
                <w:rFonts w:eastAsia="Nunito" w:cstheme="minorHAnsi"/>
              </w:rPr>
              <w:t>144</w:t>
            </w:r>
          </w:p>
        </w:tc>
      </w:tr>
      <w:tr w:rsidRPr="00393F83" w:rsidR="00393F83" w:rsidTr="000F1336" w14:paraId="61D509A3" w14:textId="77777777">
        <w:trPr>
          <w:trHeight w:val="227"/>
        </w:trPr>
        <w:tc>
          <w:tcPr>
            <w:tcW w:w="5156" w:type="dxa"/>
            <w:gridSpan w:val="3"/>
            <w:shd w:val="clear" w:color="auto" w:fill="D9E2F3" w:themeFill="accent1" w:themeFillTint="33"/>
          </w:tcPr>
          <w:p w:rsidRPr="00393F83" w:rsidR="00393F83" w:rsidP="00D97D31" w:rsidRDefault="00393F83" w14:paraId="7B553684" w14:textId="77777777">
            <w:pPr>
              <w:spacing w:after="0"/>
              <w:jc w:val="center"/>
              <w:rPr>
                <w:rFonts w:eastAsia="Nunito" w:cstheme="minorHAnsi"/>
                <w:b/>
                <w:bCs/>
              </w:rPr>
            </w:pPr>
            <w:r w:rsidRPr="00393F83">
              <w:rPr>
                <w:rFonts w:eastAsia="Nunito" w:cstheme="minorHAnsi"/>
                <w:b/>
                <w:bCs/>
              </w:rPr>
              <w:t>Total</w:t>
            </w:r>
          </w:p>
        </w:tc>
        <w:tc>
          <w:tcPr>
            <w:tcW w:w="1694" w:type="dxa"/>
            <w:shd w:val="clear" w:color="auto" w:fill="D9E2F3" w:themeFill="accent1" w:themeFillTint="33"/>
          </w:tcPr>
          <w:p w:rsidRPr="00393F83" w:rsidR="00393F83" w:rsidP="00D97D31" w:rsidRDefault="00393F83" w14:paraId="0F195094" w14:textId="77777777">
            <w:pPr>
              <w:spacing w:after="0"/>
              <w:jc w:val="center"/>
              <w:rPr>
                <w:rFonts w:eastAsia="Nunito" w:cstheme="minorHAnsi"/>
                <w:b/>
                <w:bCs/>
              </w:rPr>
            </w:pPr>
            <w:r w:rsidRPr="00393F83">
              <w:rPr>
                <w:rFonts w:eastAsia="Nunito" w:cstheme="minorHAnsi"/>
                <w:b/>
                <w:bCs/>
              </w:rPr>
              <w:t>5.514</w:t>
            </w:r>
          </w:p>
        </w:tc>
        <w:tc>
          <w:tcPr>
            <w:tcW w:w="2544" w:type="dxa"/>
            <w:shd w:val="clear" w:color="auto" w:fill="D9E2F3" w:themeFill="accent1" w:themeFillTint="33"/>
          </w:tcPr>
          <w:p w:rsidRPr="00393F83" w:rsidR="00393F83" w:rsidP="00D97D31" w:rsidRDefault="00393F83" w14:paraId="59350386" w14:textId="5DCB0235">
            <w:pPr>
              <w:spacing w:after="0"/>
              <w:jc w:val="center"/>
              <w:rPr>
                <w:rFonts w:eastAsia="Nunito" w:cstheme="minorHAnsi"/>
                <w:b/>
                <w:bCs/>
              </w:rPr>
            </w:pPr>
            <w:r w:rsidRPr="00393F83">
              <w:rPr>
                <w:rFonts w:eastAsia="Nunito" w:cstheme="minorHAnsi"/>
                <w:b/>
                <w:bCs/>
              </w:rPr>
              <w:t>$271</w:t>
            </w:r>
            <w:r>
              <w:rPr>
                <w:rFonts w:eastAsia="Nunito" w:cstheme="minorHAnsi"/>
                <w:b/>
                <w:bCs/>
              </w:rPr>
              <w:t>.</w:t>
            </w:r>
            <w:r w:rsidRPr="00393F83">
              <w:rPr>
                <w:rFonts w:eastAsia="Nunito" w:cstheme="minorHAnsi"/>
                <w:b/>
                <w:bCs/>
              </w:rPr>
              <w:t>717</w:t>
            </w:r>
            <w:r>
              <w:rPr>
                <w:rFonts w:eastAsia="Nunito" w:cstheme="minorHAnsi"/>
                <w:b/>
                <w:bCs/>
              </w:rPr>
              <w:t>.</w:t>
            </w:r>
            <w:r w:rsidRPr="00393F83">
              <w:rPr>
                <w:rFonts w:eastAsia="Nunito" w:cstheme="minorHAnsi"/>
                <w:b/>
                <w:bCs/>
              </w:rPr>
              <w:t>698</w:t>
            </w:r>
            <w:r>
              <w:rPr>
                <w:rFonts w:eastAsia="Nunito" w:cstheme="minorHAnsi"/>
                <w:b/>
                <w:bCs/>
              </w:rPr>
              <w:t>.</w:t>
            </w:r>
            <w:r w:rsidRPr="00393F83">
              <w:rPr>
                <w:rFonts w:eastAsia="Nunito" w:cstheme="minorHAnsi"/>
                <w:b/>
                <w:bCs/>
              </w:rPr>
              <w:t>696</w:t>
            </w:r>
            <w:r>
              <w:rPr>
                <w:rFonts w:eastAsia="Nunito" w:cstheme="minorHAnsi"/>
                <w:b/>
                <w:bCs/>
              </w:rPr>
              <w:t>,</w:t>
            </w:r>
            <w:r w:rsidRPr="00393F83">
              <w:rPr>
                <w:rFonts w:eastAsia="Nunito" w:cstheme="minorHAnsi"/>
                <w:b/>
                <w:bCs/>
              </w:rPr>
              <w:t>55</w:t>
            </w:r>
          </w:p>
        </w:tc>
      </w:tr>
    </w:tbl>
    <w:p w:rsidRPr="00AE12CC" w:rsidR="005C0974" w:rsidP="00D97D31" w:rsidRDefault="005C0974" w14:paraId="28697403" w14:textId="0BEBF587">
      <w:pPr>
        <w:jc w:val="center"/>
        <w:rPr>
          <w:b/>
          <w:bCs/>
          <w:i/>
          <w:iCs/>
          <w:sz w:val="18"/>
          <w:szCs w:val="18"/>
        </w:rPr>
      </w:pPr>
      <w:r w:rsidRPr="00AE12CC">
        <w:rPr>
          <w:b/>
          <w:bCs/>
          <w:i/>
          <w:iCs/>
          <w:sz w:val="18"/>
          <w:szCs w:val="18"/>
        </w:rPr>
        <w:t>Fuente:</w:t>
      </w:r>
      <w:r w:rsidRPr="00AE12CC">
        <w:rPr>
          <w:sz w:val="18"/>
          <w:szCs w:val="18"/>
        </w:rPr>
        <w:t xml:space="preserve"> Elaboración propia, 2026 teniendo en cuenta la información disponible en: </w:t>
      </w:r>
      <w:hyperlink w:history="1" r:id="rId13">
        <w:r w:rsidRPr="00AE12CC" w:rsidR="00C54951">
          <w:rPr>
            <w:sz w:val="18"/>
            <w:szCs w:val="18"/>
          </w:rPr>
          <w:t>https://ipse.gov.co/mapa-del-sitio/proyectos-ipse/listado-proyectos/</w:t>
        </w:r>
      </w:hyperlink>
    </w:p>
    <w:p w:rsidRPr="004B100F" w:rsidR="00F92455" w:rsidP="00D97D31" w:rsidRDefault="00C54951" w14:paraId="79EBFFB3" w14:textId="54EAF519">
      <w:pPr>
        <w:jc w:val="both"/>
        <w:rPr>
          <w:rFonts w:cstheme="minorHAnsi"/>
        </w:rPr>
      </w:pPr>
      <w:r w:rsidRPr="004B100F">
        <w:rPr>
          <w:rFonts w:cstheme="minorHAnsi"/>
        </w:rPr>
        <w:t xml:space="preserve">Teniendo en cuenta lo expuesto, y considerando que FONENERGÍA consolidará el saldo de la apropiación vigente proveniente de los fondos FAZNI, FAER y PRONE, se estima que la actividad de Servicio de apoyo financiero para la financiación de proyectos dispondrá de una asignación de </w:t>
      </w:r>
      <w:r w:rsidRPr="00827E83" w:rsidR="00827E83">
        <w:rPr>
          <w:rFonts w:cstheme="minorHAnsi"/>
        </w:rPr>
        <w:t>$100.319.040.00</w:t>
      </w:r>
      <w:r w:rsidR="00827E83">
        <w:rPr>
          <w:rFonts w:cstheme="minorHAnsi"/>
        </w:rPr>
        <w:t xml:space="preserve">0 </w:t>
      </w:r>
      <w:r w:rsidRPr="004B100F">
        <w:rPr>
          <w:rFonts w:cstheme="minorHAnsi"/>
        </w:rPr>
        <w:t>millones para la vigencia 2026. Dichos recursos se destinarán a respaldar la ejecución de los proyectos priorizados por el IPSE y la UPME, garantizando la disponibilidad financiera necesaria para avanzar en la ampliación de cobertura y el mejoramiento de la calidad del servicio en los territorios focalizados. Es pertinente señalar que, conforme a los criterios de seguimiento establecidos, no se proyecta avance en la meta de usuarios beneficiados durante 2026, dado que esta se contabiliza únicamente con la entrega y puesta en operación de las soluciones energéticas</w:t>
      </w:r>
      <w:r w:rsidRPr="004B100F" w:rsidR="004B100F">
        <w:rPr>
          <w:rFonts w:cstheme="minorHAnsi"/>
        </w:rPr>
        <w:t>, por ende, los</w:t>
      </w:r>
      <w:r w:rsidRPr="004B100F">
        <w:rPr>
          <w:rFonts w:cstheme="minorHAnsi"/>
        </w:rPr>
        <w:t xml:space="preserve"> resultados asociados a la meta comenzarán a reflejarse a partir de la vigencia 2027, consolidando así los impactos esperados en materia de acceso, continuidad y calidad del servicio de energía eléctrica.</w:t>
      </w:r>
    </w:p>
    <w:p w:rsidRPr="00362941" w:rsidR="00362941" w:rsidP="00D97D31" w:rsidRDefault="00362941" w14:paraId="34B7D683" w14:textId="503A99A1">
      <w:pPr>
        <w:pStyle w:val="Heading1"/>
        <w:numPr>
          <w:ilvl w:val="0"/>
          <w:numId w:val="19"/>
        </w:numPr>
      </w:pPr>
      <w:bookmarkStart w:name="_Toc230792116" w:id="11"/>
      <w:r w:rsidRPr="00833855">
        <w:t>SOLICITUD</w:t>
      </w:r>
      <w:r>
        <w:t xml:space="preserve"> DEL TRASLADO PRESUPUESTAL</w:t>
      </w:r>
      <w:bookmarkEnd w:id="11"/>
    </w:p>
    <w:p w:rsidR="4B7D8C14" w:rsidP="00D97D31" w:rsidRDefault="4B7D8C14" w14:paraId="41AE8E7B" w14:textId="3E67AFDC"/>
    <w:p w:rsidR="00362941" w:rsidP="00D97D31" w:rsidRDefault="00362941" w14:paraId="7A5FEA8B" w14:textId="77777777">
      <w:pPr>
        <w:jc w:val="both"/>
        <w:rPr>
          <w:rFonts w:eastAsiaTheme="minorEastAsia"/>
          <w:b/>
          <w:color w:val="000000" w:themeColor="text1"/>
        </w:rPr>
      </w:pPr>
      <w:r w:rsidRPr="35E3BDD5">
        <w:rPr>
          <w:rFonts w:eastAsiaTheme="minorEastAsia"/>
          <w:b/>
          <w:color w:val="000000" w:themeColor="text1"/>
        </w:rPr>
        <w:t xml:space="preserve">Justificación del </w:t>
      </w:r>
      <w:proofErr w:type="spellStart"/>
      <w:r w:rsidRPr="35E3BDD5">
        <w:rPr>
          <w:rFonts w:eastAsiaTheme="minorEastAsia"/>
          <w:b/>
          <w:color w:val="000000" w:themeColor="text1"/>
        </w:rPr>
        <w:t>contracrédito</w:t>
      </w:r>
      <w:proofErr w:type="spellEnd"/>
      <w:r w:rsidRPr="35E3BDD5">
        <w:rPr>
          <w:rFonts w:eastAsiaTheme="minorEastAsia"/>
          <w:b/>
          <w:color w:val="000000" w:themeColor="text1"/>
        </w:rPr>
        <w:t xml:space="preserve"> </w:t>
      </w:r>
      <w:r w:rsidRPr="63E5A332">
        <w:rPr>
          <w:rFonts w:eastAsiaTheme="minorEastAsia"/>
          <w:b/>
          <w:bCs/>
          <w:color w:val="000000" w:themeColor="text1"/>
        </w:rPr>
        <w:t xml:space="preserve">de </w:t>
      </w:r>
      <w:r w:rsidRPr="7AB4BD81">
        <w:rPr>
          <w:rFonts w:eastAsiaTheme="minorEastAsia"/>
          <w:b/>
          <w:bCs/>
          <w:color w:val="000000" w:themeColor="text1"/>
        </w:rPr>
        <w:t>los proyectos denominados:</w:t>
      </w:r>
      <w:r w:rsidRPr="35E3BDD5">
        <w:rPr>
          <w:rFonts w:eastAsiaTheme="minorEastAsia"/>
          <w:b/>
          <w:color w:val="000000" w:themeColor="text1"/>
        </w:rPr>
        <w:t xml:space="preserve"> “Fondo de Apoyo Financiero para la Energización de las Zonas No Interconectadas – FAZNI”, “Fondo de Apoyo Financiero para la Energización de las Zonas Rurales Interconectadas” y “Programa de Normalización de Redes Eléctricas</w:t>
      </w:r>
      <w:r>
        <w:rPr>
          <w:rFonts w:eastAsiaTheme="minorEastAsia"/>
          <w:b/>
          <w:color w:val="000000" w:themeColor="text1"/>
        </w:rPr>
        <w:t xml:space="preserve"> – PRONE</w:t>
      </w:r>
      <w:r w:rsidRPr="35E3BDD5">
        <w:rPr>
          <w:rFonts w:eastAsiaTheme="minorEastAsia"/>
          <w:b/>
          <w:color w:val="000000" w:themeColor="text1"/>
        </w:rPr>
        <w:t>”</w:t>
      </w:r>
    </w:p>
    <w:p w:rsidR="00362941" w:rsidP="00D97D31" w:rsidRDefault="003B2420" w14:paraId="4CB5C4B7" w14:textId="7A22FD13">
      <w:pPr>
        <w:pStyle w:val="Heading2"/>
      </w:pPr>
      <w:bookmarkStart w:name="_Toc230792117" w:id="12"/>
      <w:r>
        <w:t>4</w:t>
      </w:r>
      <w:r w:rsidR="007F4844">
        <w:t xml:space="preserve">.1 </w:t>
      </w:r>
      <w:r w:rsidRPr="4169694B" w:rsidR="00362941">
        <w:t>Antecedentes y propósito de la justificación</w:t>
      </w:r>
      <w:bookmarkEnd w:id="12"/>
    </w:p>
    <w:p w:rsidR="00DB3EAA" w:rsidP="00D97D31" w:rsidRDefault="00DB3EAA" w14:paraId="6DFAAB04" w14:textId="77777777">
      <w:pPr>
        <w:jc w:val="both"/>
        <w:rPr>
          <w:rFonts w:eastAsiaTheme="minorEastAsia"/>
          <w:color w:val="000000" w:themeColor="text1"/>
        </w:rPr>
      </w:pPr>
    </w:p>
    <w:p w:rsidR="00362941" w:rsidP="00D97D31" w:rsidRDefault="00362941" w14:paraId="744881CF" w14:textId="71FC2250">
      <w:pPr>
        <w:jc w:val="both"/>
        <w:rPr>
          <w:rFonts w:eastAsiaTheme="minorEastAsia"/>
          <w:color w:val="000000" w:themeColor="text1"/>
        </w:rPr>
      </w:pPr>
      <w:r w:rsidRPr="3B5E2B55">
        <w:rPr>
          <w:rFonts w:eastAsiaTheme="minorEastAsia"/>
          <w:color w:val="000000" w:themeColor="text1"/>
        </w:rPr>
        <w:t>En el marco de la ejecución presupuestal de la vigencia 2026 y en aplicación de los principios de planeación, eficiencia, economía, eficacia, responsabilidad, austeridad del gasto y adecuada administración de los recursos públicos, se presenta la presente justificación técnica para sustentar la necesidad de trasladar recursos apropiados en los proyectos de inversión FAZNI identificado con BPIN 2022011000082, FAER con BPIN 2018011001048 y PRONE con BPIN 2018011001045</w:t>
      </w:r>
      <w:r>
        <w:t xml:space="preserve"> </w:t>
      </w:r>
      <w:r w:rsidRPr="3B5E2B55">
        <w:rPr>
          <w:rFonts w:eastAsiaTheme="minorEastAsia"/>
          <w:color w:val="000000" w:themeColor="text1"/>
        </w:rPr>
        <w:t xml:space="preserve">hacia el proyecto de inversión de FONENERGÍA identificado con BPIN </w:t>
      </w:r>
      <w:r w:rsidRPr="00DB3EAA" w:rsidR="00DB3EAA">
        <w:rPr>
          <w:rFonts w:eastAsiaTheme="minorEastAsia"/>
          <w:color w:val="000000" w:themeColor="text1"/>
        </w:rPr>
        <w:t>202600000013949</w:t>
      </w:r>
      <w:r w:rsidRPr="3B5E2B55">
        <w:rPr>
          <w:rFonts w:eastAsiaTheme="minorEastAsia"/>
          <w:color w:val="000000" w:themeColor="text1"/>
        </w:rPr>
        <w:t>.</w:t>
      </w:r>
    </w:p>
    <w:p w:rsidR="00362941" w:rsidP="00D97D31" w:rsidRDefault="00362941" w14:paraId="1CA8E088" w14:textId="77777777">
      <w:pPr>
        <w:jc w:val="both"/>
        <w:rPr>
          <w:rFonts w:eastAsiaTheme="minorEastAsia"/>
          <w:color w:val="000000" w:themeColor="text1"/>
        </w:rPr>
      </w:pPr>
      <w:r w:rsidRPr="3B5E2B55">
        <w:rPr>
          <w:rFonts w:eastAsiaTheme="minorEastAsia"/>
          <w:color w:val="000000" w:themeColor="text1"/>
        </w:rPr>
        <w:t>La medida propuesta responde al cambio normativo y operativo de los fondos: FAZNI, FAER y PRONE los cuales fueron sustituidos por el Fondo Único de Soluciones Energéticas - FONENERGÍA, de acuerdo con el artículo 247 de la Ley 2294 de 2023, reglamentado por el Decreto 375 de 2026, por lo cual, la permanencia de recursos nuevos o no comprometidos en los proyectos de inversión asociados genera una desalineación frente al instrumento actualmente habilitado para coordinar, articular, focalizar, asignar, ejecutar y hacer seguimiento a las inversiones energéticas que antes se tramitaban bajo los fondos sustituidos.</w:t>
      </w:r>
    </w:p>
    <w:p w:rsidR="00362941" w:rsidP="00D97D31" w:rsidRDefault="00362941" w14:paraId="15BA7E7A" w14:textId="77777777">
      <w:pPr>
        <w:jc w:val="both"/>
        <w:rPr>
          <w:rFonts w:eastAsiaTheme="minorEastAsia"/>
          <w:color w:val="000000" w:themeColor="text1"/>
        </w:rPr>
      </w:pPr>
      <w:r w:rsidRPr="3B5E2B55">
        <w:rPr>
          <w:rFonts w:eastAsiaTheme="minorEastAsia"/>
          <w:color w:val="000000" w:themeColor="text1"/>
        </w:rPr>
        <w:t>El traslado no implica modificar la finalidad de atender las necesidades energéticas de las Zonas No Interconectadas, la ampliación de cobertura en las zonas rurales y la normalización de redes en barrios subnormales. Por el contrario, permite que dichos recursos se ejecuten por FONENERGIA que concentra las funciones, subcuentas, órganos de gobierno, reglas de transición, seguimiento y control previstos por la normativa vigente para la financiación de planes, programas y proyectos de energía eléctrica.</w:t>
      </w:r>
    </w:p>
    <w:p w:rsidR="00362941" w:rsidP="00D97D31" w:rsidRDefault="003B2420" w14:paraId="2E92C339" w14:textId="44001D86">
      <w:pPr>
        <w:pStyle w:val="Heading2"/>
      </w:pPr>
      <w:bookmarkStart w:name="_Toc230792118" w:id="13"/>
      <w:r>
        <w:t>4</w:t>
      </w:r>
      <w:r w:rsidR="007F4844">
        <w:t xml:space="preserve">.2 </w:t>
      </w:r>
      <w:r w:rsidRPr="3155A70D" w:rsidR="00362941">
        <w:t>Marco normativo que soporta el traslado</w:t>
      </w:r>
      <w:bookmarkEnd w:id="13"/>
    </w:p>
    <w:p w:rsidR="007F4844" w:rsidP="00D97D31" w:rsidRDefault="007F4844" w14:paraId="63FAE876" w14:textId="77777777">
      <w:pPr>
        <w:jc w:val="both"/>
        <w:rPr>
          <w:rFonts w:eastAsiaTheme="minorEastAsia"/>
          <w:color w:val="000000" w:themeColor="text1"/>
        </w:rPr>
      </w:pPr>
    </w:p>
    <w:p w:rsidR="00362941" w:rsidP="00D97D31" w:rsidRDefault="00362941" w14:paraId="4F581E53" w14:textId="77777777">
      <w:pPr>
        <w:jc w:val="both"/>
        <w:rPr>
          <w:rFonts w:eastAsiaTheme="minorEastAsia"/>
          <w:color w:val="000000" w:themeColor="text1"/>
        </w:rPr>
      </w:pPr>
      <w:r w:rsidRPr="3155A70D">
        <w:rPr>
          <w:rFonts w:eastAsiaTheme="minorEastAsia"/>
          <w:color w:val="000000" w:themeColor="text1"/>
        </w:rPr>
        <w:t>El artículo 247 de la Ley 2294 de 2023 modificó el artículo 41 de la Ley 2099 de 2021 y consolidó a FONENERGÍA como un fondo cuenta administrado por el Ministerio de Minas y Energía, cuyo objeto es coordinar, articular y focalizar diferentes fuentes de recursos para financiar y realizar planes, programas y proyectos relacionados con la mejora de la calidad del servicio, la expansión de la cobertura energética y la normalización de redes, mediante soluciones de energía eléctrica y gas combustible, bajo criterios de sostenibilidad ambiental y progreso social.</w:t>
      </w:r>
    </w:p>
    <w:p w:rsidR="00362941" w:rsidP="00D97D31" w:rsidRDefault="00362941" w14:paraId="02902DF9" w14:textId="77777777">
      <w:pPr>
        <w:jc w:val="both"/>
        <w:rPr>
          <w:rFonts w:eastAsiaTheme="minorEastAsia"/>
          <w:color w:val="000000" w:themeColor="text1"/>
        </w:rPr>
      </w:pPr>
      <w:r w:rsidRPr="3155A70D">
        <w:rPr>
          <w:rFonts w:eastAsiaTheme="minorEastAsia"/>
          <w:color w:val="000000" w:themeColor="text1"/>
        </w:rPr>
        <w:t>El mismo artículo dispuso la sustitución de los fondos FAER, FAZNI, PRONE y FECFGN por FONENERGÍA. Esta sustitución se debe entender como una reorganización institucional y presupuestal orientada a superar la dispersión de instrumentos, evitar duplicidades administrativas, fortalecer la focalización de recursos y asegurar una mayor trazabilidad en la ejecución de las inversiones del sector energético.</w:t>
      </w:r>
    </w:p>
    <w:p w:rsidR="00362941" w:rsidP="00D97D31" w:rsidRDefault="00362941" w14:paraId="7040586F" w14:textId="77777777">
      <w:pPr>
        <w:jc w:val="both"/>
        <w:rPr>
          <w:rFonts w:eastAsiaTheme="minorEastAsia"/>
          <w:color w:val="000000" w:themeColor="text1"/>
        </w:rPr>
      </w:pPr>
      <w:r w:rsidRPr="3155A70D">
        <w:rPr>
          <w:rFonts w:eastAsiaTheme="minorEastAsia"/>
          <w:color w:val="000000" w:themeColor="text1"/>
        </w:rPr>
        <w:t>El Decreto 375 de 2026 reglamentó el funcionamiento de FONENERGÍA y subrogó el Título VIII del Decreto 1073 de 2015. En particular, definió a FONENERGÍA como fondo cuenta especial sin personería jurídica, administrado por el Ministerio de Minas y Energía; creó subcuentas diferenciadas para energía eléctrica y gas combustible; estableció parámetros para su manejo independiente; reguló sus órganos de gobierno; y desarrolló un régimen de transición para los planes, programas, proyectos y proyectos de inversión asociados a los fondos sustituidos.</w:t>
      </w:r>
    </w:p>
    <w:p w:rsidR="00362941" w:rsidP="00D97D31" w:rsidRDefault="00362941" w14:paraId="6F8D9641" w14:textId="77777777">
      <w:pPr>
        <w:jc w:val="both"/>
        <w:rPr>
          <w:rFonts w:eastAsiaTheme="minorEastAsia"/>
          <w:color w:val="000000" w:themeColor="text1"/>
        </w:rPr>
      </w:pPr>
      <w:r w:rsidRPr="3155A70D">
        <w:rPr>
          <w:rFonts w:eastAsiaTheme="minorEastAsia"/>
          <w:color w:val="000000" w:themeColor="text1"/>
        </w:rPr>
        <w:t>De acuerdo con el régimen de transición del Decreto 375 de 2026, el Ministerio de Minas y Energía, a través de FONENERGÍA, adquiere los derechos y obligaciones derivados de los recursos asignados y ejecutados mediante FAER, FAZNI, PRONE y FECFGN. Así mismo, los planes, programas y proyectos evaluados, priorizados, radicados o en trámite deben continuar su gestión ante el Comité de Administración de FONENERGÍA, conservando el marco aplicable y la trazabilidad de su priorización.</w:t>
      </w:r>
    </w:p>
    <w:p w:rsidR="00362941" w:rsidP="00D97D31" w:rsidRDefault="00362941" w14:paraId="25CA3D2B" w14:textId="77777777">
      <w:pPr>
        <w:jc w:val="both"/>
        <w:rPr>
          <w:rFonts w:eastAsiaTheme="minorEastAsia"/>
          <w:color w:val="000000" w:themeColor="text1"/>
        </w:rPr>
      </w:pPr>
      <w:r w:rsidRPr="3155A70D">
        <w:rPr>
          <w:rFonts w:eastAsiaTheme="minorEastAsia"/>
          <w:color w:val="000000" w:themeColor="text1"/>
        </w:rPr>
        <w:t xml:space="preserve">De manera específica, el artículo relativo a la transición de proyectos de inversión prevé que los proyectos que sustentaban los fondos que entraron a ser parte de FONENERGÍA continuarán vigentes hasta tanto el proyecto o proyectos de inversión que soporten la ejecución de FONENERGÍA surtan los trámites presupuestales y financieros que garanticen su </w:t>
      </w:r>
      <w:proofErr w:type="spellStart"/>
      <w:r w:rsidRPr="3155A70D">
        <w:rPr>
          <w:rFonts w:eastAsiaTheme="minorEastAsia"/>
          <w:color w:val="000000" w:themeColor="text1"/>
        </w:rPr>
        <w:t>viabilización</w:t>
      </w:r>
      <w:proofErr w:type="spellEnd"/>
      <w:r w:rsidRPr="3155A70D">
        <w:rPr>
          <w:rFonts w:eastAsiaTheme="minorEastAsia"/>
          <w:color w:val="000000" w:themeColor="text1"/>
        </w:rPr>
        <w:t xml:space="preserve"> e incorporación de recursos. Una vez ello ocurra, la Dirección General del Presupuesto Público Nacional, </w:t>
      </w:r>
      <w:r w:rsidRPr="3155A70D">
        <w:rPr>
          <w:rFonts w:eastAsiaTheme="minorEastAsia"/>
          <w:b/>
          <w:color w:val="000000" w:themeColor="text1"/>
        </w:rPr>
        <w:t>por solicitud del Ministerio de Minas y Energía y con las justificaciones correspondientes, debe ubicar los saldos no comprometidos de la vigencia respectiva en el nuevo concepto de ingreso correspondiente al Fondo Único de Soluciones Energéticas</w:t>
      </w:r>
      <w:r w:rsidRPr="3155A70D">
        <w:rPr>
          <w:rFonts w:eastAsiaTheme="minorEastAsia"/>
          <w:color w:val="000000" w:themeColor="text1"/>
        </w:rPr>
        <w:t>.</w:t>
      </w:r>
    </w:p>
    <w:p w:rsidR="00362941" w:rsidP="00D97D31" w:rsidRDefault="003B2420" w14:paraId="5A995058" w14:textId="74EB267F">
      <w:pPr>
        <w:pStyle w:val="Heading2"/>
        <w:spacing w:before="0"/>
      </w:pPr>
      <w:bookmarkStart w:name="_Toc230792119" w:id="14"/>
      <w:r>
        <w:t>4</w:t>
      </w:r>
      <w:r w:rsidR="00DB3EAA">
        <w:t xml:space="preserve">.3 </w:t>
      </w:r>
      <w:r w:rsidRPr="3155A70D" w:rsidR="00362941">
        <w:t>Diagnóstico técnico y presupuestal</w:t>
      </w:r>
      <w:bookmarkEnd w:id="14"/>
    </w:p>
    <w:p w:rsidR="00DB3EAA" w:rsidP="00D97D31" w:rsidRDefault="00DB3EAA" w14:paraId="4390A83F" w14:textId="77777777">
      <w:pPr>
        <w:jc w:val="both"/>
        <w:rPr>
          <w:rFonts w:ascii="Calibri" w:hAnsi="Calibri" w:eastAsia="Calibri" w:cs="Calibri"/>
        </w:rPr>
      </w:pPr>
    </w:p>
    <w:p w:rsidR="00362941" w:rsidP="00D97D31" w:rsidRDefault="00362941" w14:paraId="46AC22E0" w14:textId="26CA8D04">
      <w:pPr>
        <w:jc w:val="both"/>
        <w:rPr>
          <w:rFonts w:eastAsiaTheme="minorEastAsia"/>
          <w:color w:val="000000" w:themeColor="text1"/>
        </w:rPr>
      </w:pPr>
      <w:r w:rsidRPr="40173CC1">
        <w:rPr>
          <w:rFonts w:ascii="Calibri" w:hAnsi="Calibri" w:eastAsia="Calibri" w:cs="Calibri"/>
        </w:rPr>
        <w:t>Los proyectos de inversión FAZNI, FAER y PRONE fueron estructurados para respaldar la financiación de planes, programas y proyectos de infraestructura eléctrica orientados a ampliar la cobertura</w:t>
      </w:r>
      <w:r>
        <w:rPr>
          <w:rFonts w:ascii="Calibri" w:hAnsi="Calibri" w:eastAsia="Calibri" w:cs="Calibri"/>
        </w:rPr>
        <w:t>,</w:t>
      </w:r>
      <w:r w:rsidRPr="40173CC1">
        <w:rPr>
          <w:rFonts w:ascii="Calibri" w:hAnsi="Calibri" w:eastAsia="Calibri" w:cs="Calibri"/>
        </w:rPr>
        <w:t xml:space="preserve"> atender la demanda de energía eléctrica</w:t>
      </w:r>
      <w:r>
        <w:rPr>
          <w:rFonts w:ascii="Calibri" w:hAnsi="Calibri" w:eastAsia="Calibri" w:cs="Calibri"/>
        </w:rPr>
        <w:t>,</w:t>
      </w:r>
      <w:r w:rsidRPr="40173CC1">
        <w:rPr>
          <w:rFonts w:ascii="Calibri" w:hAnsi="Calibri" w:eastAsia="Calibri" w:cs="Calibri"/>
        </w:rPr>
        <w:t xml:space="preserve"> </w:t>
      </w:r>
      <w:r>
        <w:rPr>
          <w:rFonts w:ascii="Calibri" w:hAnsi="Calibri" w:eastAsia="Calibri" w:cs="Calibri"/>
        </w:rPr>
        <w:t>e</w:t>
      </w:r>
      <w:r w:rsidRPr="40173CC1">
        <w:rPr>
          <w:rFonts w:ascii="Calibri" w:hAnsi="Calibri" w:eastAsia="Calibri" w:cs="Calibri"/>
        </w:rPr>
        <w:t xml:space="preserve">n el caso del FAZNI, dichos recursos están dirigidos a las Zonas No Interconectadas (ZNI); para el FAER, a la ampliación de la cobertura y la satisfacción de la demanda de energía en las zonas rurales interconectadas; y, en el caso del PRONE, a la normalización de redes eléctricas. </w:t>
      </w:r>
      <w:r w:rsidRPr="3155A70D">
        <w:rPr>
          <w:rFonts w:eastAsiaTheme="minorEastAsia"/>
          <w:color w:val="000000" w:themeColor="text1"/>
        </w:rPr>
        <w:t xml:space="preserve">No obstante, a partir de la expedición del artículo 247 de la Ley 2294 de 2023 y de su reglamentación mediante el Decreto 375 de 2026, el marco institucional vigente deja de concebir </w:t>
      </w:r>
      <w:r w:rsidRPr="55CBE8B3">
        <w:rPr>
          <w:rFonts w:eastAsiaTheme="minorEastAsia"/>
          <w:color w:val="000000" w:themeColor="text1"/>
        </w:rPr>
        <w:t>los fondos</w:t>
      </w:r>
      <w:r w:rsidRPr="3155A70D">
        <w:rPr>
          <w:rFonts w:eastAsiaTheme="minorEastAsia"/>
          <w:color w:val="000000" w:themeColor="text1"/>
        </w:rPr>
        <w:t xml:space="preserve"> FAZNI</w:t>
      </w:r>
      <w:r w:rsidRPr="55CBE8B3">
        <w:rPr>
          <w:rFonts w:eastAsiaTheme="minorEastAsia"/>
          <w:color w:val="000000" w:themeColor="text1"/>
        </w:rPr>
        <w:t>, FAER y PRONE</w:t>
      </w:r>
      <w:r w:rsidRPr="3155A70D">
        <w:rPr>
          <w:rFonts w:eastAsiaTheme="minorEastAsia"/>
          <w:color w:val="000000" w:themeColor="text1"/>
        </w:rPr>
        <w:t xml:space="preserve"> como un instrumento autónomo para nuevas asignaciones y consolida sus funciones dentro de FONENERGÍA.</w:t>
      </w:r>
    </w:p>
    <w:p w:rsidR="00362941" w:rsidP="00D97D31" w:rsidRDefault="00362941" w14:paraId="54C2BC39" w14:textId="77777777">
      <w:pPr>
        <w:jc w:val="both"/>
        <w:rPr>
          <w:rFonts w:eastAsiaTheme="minorEastAsia"/>
          <w:color w:val="000000" w:themeColor="text1"/>
        </w:rPr>
      </w:pPr>
      <w:r w:rsidRPr="3155A70D">
        <w:rPr>
          <w:rFonts w:eastAsiaTheme="minorEastAsia"/>
          <w:color w:val="000000" w:themeColor="text1"/>
        </w:rPr>
        <w:t xml:space="preserve">En este contexto, mantener recursos de la vigencia 2026 en </w:t>
      </w:r>
      <w:r w:rsidRPr="55CBE8B3">
        <w:rPr>
          <w:rFonts w:eastAsiaTheme="minorEastAsia"/>
          <w:color w:val="000000" w:themeColor="text1"/>
        </w:rPr>
        <w:t>los proyectos</w:t>
      </w:r>
      <w:r w:rsidRPr="3155A70D">
        <w:rPr>
          <w:rFonts w:eastAsiaTheme="minorEastAsia"/>
          <w:color w:val="000000" w:themeColor="text1"/>
        </w:rPr>
        <w:t xml:space="preserve"> de inversión FAZNI, </w:t>
      </w:r>
      <w:r w:rsidRPr="55CBE8B3">
        <w:rPr>
          <w:rFonts w:eastAsiaTheme="minorEastAsia"/>
          <w:color w:val="000000" w:themeColor="text1"/>
        </w:rPr>
        <w:t xml:space="preserve">FAER y </w:t>
      </w:r>
      <w:r w:rsidRPr="52FAAD59">
        <w:rPr>
          <w:rFonts w:eastAsiaTheme="minorEastAsia"/>
          <w:color w:val="000000" w:themeColor="text1"/>
        </w:rPr>
        <w:t>PRONE</w:t>
      </w:r>
      <w:r w:rsidRPr="55CBE8B3">
        <w:rPr>
          <w:rFonts w:eastAsiaTheme="minorEastAsia"/>
          <w:color w:val="000000" w:themeColor="text1"/>
        </w:rPr>
        <w:t xml:space="preserve">, </w:t>
      </w:r>
      <w:r w:rsidRPr="3155A70D">
        <w:rPr>
          <w:rFonts w:eastAsiaTheme="minorEastAsia"/>
          <w:color w:val="000000" w:themeColor="text1"/>
        </w:rPr>
        <w:t>cuando existe un proyecto de inversión de FONENERGÍA llamado a soportar la operación del Fondo Único, genera riesgos técnicos, presupuestales y administrativos. El principal riesgo consiste en sostener una estructura presupuestal asociada a un fondo sustituido, mientras las decisiones de focalización, priorización, asignación, ejecución y seguimiento deben ser adoptadas por los órganos y procedimientos del nuevo Fondo.</w:t>
      </w:r>
    </w:p>
    <w:p w:rsidR="00362941" w:rsidP="00D97D31" w:rsidRDefault="00362941" w14:paraId="4DBBB02C" w14:textId="77777777">
      <w:pPr>
        <w:jc w:val="both"/>
        <w:rPr>
          <w:rFonts w:eastAsiaTheme="minorEastAsia"/>
          <w:color w:val="000000" w:themeColor="text1"/>
        </w:rPr>
      </w:pPr>
      <w:r w:rsidRPr="3155A70D">
        <w:rPr>
          <w:rFonts w:eastAsiaTheme="minorEastAsia"/>
          <w:color w:val="000000" w:themeColor="text1"/>
        </w:rPr>
        <w:t xml:space="preserve">La permanencia de recursos en </w:t>
      </w:r>
      <w:r w:rsidRPr="709EF87E">
        <w:rPr>
          <w:rFonts w:eastAsiaTheme="minorEastAsia"/>
          <w:color w:val="000000" w:themeColor="text1"/>
        </w:rPr>
        <w:t>los proyectos</w:t>
      </w:r>
      <w:r w:rsidRPr="3155A70D">
        <w:rPr>
          <w:rFonts w:eastAsiaTheme="minorEastAsia"/>
          <w:color w:val="000000" w:themeColor="text1"/>
        </w:rPr>
        <w:t xml:space="preserve"> FAZNI</w:t>
      </w:r>
      <w:r w:rsidRPr="709EF87E">
        <w:rPr>
          <w:rFonts w:eastAsiaTheme="minorEastAsia"/>
          <w:color w:val="000000" w:themeColor="text1"/>
        </w:rPr>
        <w:t>,</w:t>
      </w:r>
      <w:r w:rsidRPr="3155A70D">
        <w:rPr>
          <w:rFonts w:eastAsiaTheme="minorEastAsia"/>
          <w:color w:val="000000" w:themeColor="text1"/>
        </w:rPr>
        <w:t xml:space="preserve"> </w:t>
      </w:r>
      <w:r w:rsidRPr="530ABFD4">
        <w:rPr>
          <w:rFonts w:eastAsiaTheme="minorEastAsia"/>
          <w:color w:val="000000" w:themeColor="text1"/>
        </w:rPr>
        <w:t xml:space="preserve">FAER y </w:t>
      </w:r>
      <w:r w:rsidRPr="4F09660D">
        <w:rPr>
          <w:rFonts w:eastAsiaTheme="minorEastAsia"/>
          <w:color w:val="000000" w:themeColor="text1"/>
        </w:rPr>
        <w:t>PRONE</w:t>
      </w:r>
      <w:r w:rsidRPr="530ABFD4">
        <w:rPr>
          <w:rFonts w:eastAsiaTheme="minorEastAsia"/>
          <w:color w:val="000000" w:themeColor="text1"/>
        </w:rPr>
        <w:t xml:space="preserve"> </w:t>
      </w:r>
      <w:r w:rsidRPr="3155A70D">
        <w:rPr>
          <w:rFonts w:eastAsiaTheme="minorEastAsia"/>
          <w:color w:val="000000" w:themeColor="text1"/>
        </w:rPr>
        <w:t>puede producir una separación innecesaria entre la fuente presupuestal y el esquema operativo competente, con efectos negativos sobre la oportunidad de ejecución, la consistencia de la programación presupuestal, la trazabilidad del gasto, la consolidación de saldos, la generación de reportes y el cumplimiento de metas sectoriales asociadas a cobertura, calidad, confiabilidad y sostenibilidad energética en el SIN y la ZNI.</w:t>
      </w:r>
    </w:p>
    <w:p w:rsidR="00362941" w:rsidP="00D97D31" w:rsidRDefault="00362941" w14:paraId="34625D2E" w14:textId="77777777">
      <w:pPr>
        <w:spacing w:before="240" w:after="0"/>
        <w:jc w:val="both"/>
        <w:rPr>
          <w:rFonts w:eastAsiaTheme="minorEastAsia"/>
          <w:color w:val="000000" w:themeColor="text1"/>
        </w:rPr>
      </w:pPr>
      <w:r w:rsidRPr="3155A70D">
        <w:rPr>
          <w:rFonts w:eastAsiaTheme="minorEastAsia"/>
          <w:color w:val="000000" w:themeColor="text1"/>
        </w:rPr>
        <w:t xml:space="preserve">Por el contrario, el traslado al proyecto de inversión de FONENERGÍA permite ordenar los recursos dentro de la arquitectura institucional actualmente vigente, asegurar su manejo a través de la subcuenta de energía eléctrica, preservar la destinación original hacia soluciones energéticas en </w:t>
      </w:r>
      <w:r w:rsidRPr="2B2D7EAE">
        <w:rPr>
          <w:rFonts w:eastAsiaTheme="minorEastAsia"/>
          <w:color w:val="000000" w:themeColor="text1"/>
        </w:rPr>
        <w:t>el SIN</w:t>
      </w:r>
      <w:r w:rsidRPr="6F1D5C80">
        <w:rPr>
          <w:rFonts w:eastAsiaTheme="minorEastAsia"/>
          <w:color w:val="000000" w:themeColor="text1"/>
        </w:rPr>
        <w:t xml:space="preserve"> y ZNI</w:t>
      </w:r>
      <w:r w:rsidRPr="370AB9DD">
        <w:rPr>
          <w:rFonts w:eastAsiaTheme="minorEastAsia"/>
          <w:color w:val="000000" w:themeColor="text1"/>
        </w:rPr>
        <w:t xml:space="preserve"> </w:t>
      </w:r>
      <w:r w:rsidRPr="3155A70D">
        <w:rPr>
          <w:rFonts w:eastAsiaTheme="minorEastAsia"/>
          <w:color w:val="000000" w:themeColor="text1"/>
        </w:rPr>
        <w:t xml:space="preserve">y habilitar una gestión integral bajo reglas comunes de estructuración, </w:t>
      </w:r>
      <w:proofErr w:type="spellStart"/>
      <w:r w:rsidRPr="3155A70D">
        <w:rPr>
          <w:rFonts w:eastAsiaTheme="minorEastAsia"/>
          <w:color w:val="000000" w:themeColor="text1"/>
        </w:rPr>
        <w:t>viabilización</w:t>
      </w:r>
      <w:proofErr w:type="spellEnd"/>
      <w:r w:rsidRPr="3155A70D">
        <w:rPr>
          <w:rFonts w:eastAsiaTheme="minorEastAsia"/>
          <w:color w:val="000000" w:themeColor="text1"/>
        </w:rPr>
        <w:t>, asignación, seguimiento y control.</w:t>
      </w:r>
    </w:p>
    <w:p w:rsidRPr="00AC12D1" w:rsidR="00AC12D1" w:rsidP="00D97D31" w:rsidRDefault="003B2420" w14:paraId="3C9D7558" w14:textId="76039726">
      <w:pPr>
        <w:pStyle w:val="Heading2"/>
        <w:spacing w:before="240"/>
      </w:pPr>
      <w:bookmarkStart w:name="_Toc230792120" w:id="15"/>
      <w:r>
        <w:t>4</w:t>
      </w:r>
      <w:r w:rsidR="00DB3EAA">
        <w:t xml:space="preserve">.4 </w:t>
      </w:r>
      <w:r w:rsidRPr="3155A70D" w:rsidR="00362941">
        <w:t>Justificación de la necesidad del traslado</w:t>
      </w:r>
      <w:bookmarkEnd w:id="15"/>
    </w:p>
    <w:p w:rsidR="00CA7E78" w:rsidP="00CA7E78" w:rsidRDefault="00CA7E78" w14:paraId="0FD74A77" w14:textId="77777777">
      <w:pPr>
        <w:spacing w:after="0"/>
        <w:jc w:val="both"/>
        <w:rPr>
          <w:rFonts w:eastAsiaTheme="minorEastAsia"/>
          <w:color w:val="000000" w:themeColor="text1"/>
        </w:rPr>
      </w:pPr>
    </w:p>
    <w:p w:rsidR="00362941" w:rsidP="00CA7E78" w:rsidRDefault="00362941" w14:paraId="7FAB7D51" w14:textId="6CE6F6EF">
      <w:pPr>
        <w:spacing w:after="0"/>
        <w:jc w:val="both"/>
        <w:rPr>
          <w:rFonts w:eastAsiaTheme="minorEastAsia"/>
          <w:color w:val="000000" w:themeColor="text1"/>
        </w:rPr>
      </w:pPr>
      <w:r w:rsidRPr="3155A70D">
        <w:rPr>
          <w:rFonts w:eastAsiaTheme="minorEastAsia"/>
          <w:color w:val="000000" w:themeColor="text1"/>
        </w:rPr>
        <w:t>La necesidad del traslado se sustenta en los siguientes argumentos:</w:t>
      </w:r>
    </w:p>
    <w:p w:rsidR="00711D3A" w:rsidP="00CA7E78" w:rsidRDefault="00711D3A" w14:paraId="74532489" w14:textId="77777777">
      <w:pPr>
        <w:spacing w:after="0"/>
        <w:jc w:val="both"/>
        <w:rPr>
          <w:rFonts w:eastAsiaTheme="minorEastAsia"/>
          <w:color w:val="000000" w:themeColor="text1"/>
        </w:rPr>
      </w:pPr>
    </w:p>
    <w:p w:rsidR="00362941" w:rsidP="00CA7E78" w:rsidRDefault="00362941" w14:paraId="70F39026" w14:textId="77777777">
      <w:pPr>
        <w:pStyle w:val="ListBullet"/>
        <w:numPr>
          <w:ilvl w:val="0"/>
          <w:numId w:val="29"/>
        </w:numPr>
        <w:tabs>
          <w:tab w:val="num" w:pos="360"/>
        </w:tabs>
        <w:spacing w:after="120"/>
        <w:ind w:hanging="216"/>
        <w:jc w:val="both"/>
        <w:rPr>
          <w:rFonts w:eastAsiaTheme="minorEastAsia"/>
          <w:color w:val="000000" w:themeColor="text1"/>
        </w:rPr>
      </w:pPr>
      <w:r w:rsidRPr="3155A70D">
        <w:rPr>
          <w:rFonts w:eastAsiaTheme="minorEastAsia"/>
          <w:color w:val="000000" w:themeColor="text1"/>
        </w:rPr>
        <w:t xml:space="preserve">Alineación normativa obligatoria. El artículo 247 de la Ley 2294 de 2023 sustituyó expresamente a </w:t>
      </w:r>
      <w:r w:rsidRPr="284AE2E4">
        <w:rPr>
          <w:rFonts w:eastAsiaTheme="minorEastAsia"/>
          <w:color w:val="000000" w:themeColor="text1"/>
        </w:rPr>
        <w:t>los fondos</w:t>
      </w:r>
      <w:r w:rsidRPr="7E14E1AD">
        <w:rPr>
          <w:rFonts w:eastAsiaTheme="minorEastAsia"/>
          <w:color w:val="000000" w:themeColor="text1"/>
        </w:rPr>
        <w:t xml:space="preserve"> </w:t>
      </w:r>
      <w:r w:rsidRPr="3155A70D">
        <w:rPr>
          <w:rFonts w:eastAsiaTheme="minorEastAsia"/>
          <w:color w:val="000000" w:themeColor="text1"/>
        </w:rPr>
        <w:t>FAZNI</w:t>
      </w:r>
      <w:r w:rsidRPr="284AE2E4">
        <w:rPr>
          <w:rFonts w:eastAsiaTheme="minorEastAsia"/>
          <w:color w:val="000000" w:themeColor="text1"/>
        </w:rPr>
        <w:t>, FAER y PRONE</w:t>
      </w:r>
      <w:r w:rsidRPr="3155A70D">
        <w:rPr>
          <w:rFonts w:eastAsiaTheme="minorEastAsia"/>
          <w:color w:val="000000" w:themeColor="text1"/>
        </w:rPr>
        <w:t xml:space="preserve"> por FONENERGÍA. Por tanto, los recursos destinados a las finalidades históricas </w:t>
      </w:r>
      <w:r w:rsidRPr="1A506CB6">
        <w:rPr>
          <w:rFonts w:eastAsiaTheme="minorEastAsia"/>
          <w:color w:val="000000" w:themeColor="text1"/>
        </w:rPr>
        <w:t>del</w:t>
      </w:r>
      <w:r w:rsidRPr="3155A70D">
        <w:rPr>
          <w:rFonts w:eastAsiaTheme="minorEastAsia"/>
          <w:color w:val="000000" w:themeColor="text1"/>
        </w:rPr>
        <w:t xml:space="preserve"> FAZNI</w:t>
      </w:r>
      <w:r w:rsidRPr="1A506CB6">
        <w:rPr>
          <w:rFonts w:eastAsiaTheme="minorEastAsia"/>
          <w:color w:val="000000" w:themeColor="text1"/>
        </w:rPr>
        <w:t>, FAER y PRONE</w:t>
      </w:r>
      <w:r w:rsidRPr="3155A70D">
        <w:rPr>
          <w:rFonts w:eastAsiaTheme="minorEastAsia"/>
          <w:color w:val="000000" w:themeColor="text1"/>
        </w:rPr>
        <w:t xml:space="preserve"> deben ser gestionados en el instrumento sucesor, sin perjuicio del régimen de transición aplicable a compromisos ya asumidos. Esta alineación evita que la ejecución de recursos nuevos o no comprometidos se mantenga en un esquema presupuestal que ya no corresponde al diseño institucional vigente.</w:t>
      </w:r>
    </w:p>
    <w:p w:rsidR="00362941" w:rsidP="00D97D31" w:rsidRDefault="00362941" w14:paraId="4AEDE83B" w14:textId="77777777">
      <w:pPr>
        <w:pStyle w:val="ListBullet"/>
        <w:numPr>
          <w:ilvl w:val="0"/>
          <w:numId w:val="29"/>
        </w:numPr>
        <w:tabs>
          <w:tab w:val="num" w:pos="360"/>
        </w:tabs>
        <w:spacing w:after="120"/>
        <w:ind w:hanging="216"/>
        <w:jc w:val="both"/>
        <w:rPr>
          <w:rFonts w:eastAsiaTheme="minorEastAsia"/>
          <w:color w:val="000000" w:themeColor="text1"/>
        </w:rPr>
      </w:pPr>
      <w:r w:rsidRPr="3155A70D">
        <w:rPr>
          <w:rFonts w:eastAsiaTheme="minorEastAsia"/>
          <w:color w:val="000000" w:themeColor="text1"/>
        </w:rPr>
        <w:t xml:space="preserve">Coherencia con el régimen de transición del Decreto 375 de 2026. El Decreto prevé que FONENERGÍA adquiere derechos y obligaciones derivados de los recursos asignados y ejecutados por </w:t>
      </w:r>
      <w:r w:rsidRPr="62990B1B">
        <w:rPr>
          <w:rFonts w:eastAsiaTheme="minorEastAsia"/>
          <w:color w:val="000000" w:themeColor="text1"/>
        </w:rPr>
        <w:t>los fondos FAZNI, FAER y PRONE</w:t>
      </w:r>
      <w:r w:rsidRPr="3155A70D">
        <w:rPr>
          <w:rFonts w:eastAsiaTheme="minorEastAsia"/>
          <w:color w:val="000000" w:themeColor="text1"/>
        </w:rPr>
        <w:t xml:space="preserve">, y que los saldos no comprometidos deben ser ubicados en el concepto presupuestal del Fondo Único, previa solicitud y justificación del Ministerio. En consecuencia, el traslado constituye el mecanismo técnico y presupuestal idóneo para materializar el tránsito ordenado desde </w:t>
      </w:r>
      <w:r w:rsidRPr="6057D6C2">
        <w:rPr>
          <w:rFonts w:eastAsiaTheme="minorEastAsia"/>
          <w:color w:val="000000" w:themeColor="text1"/>
        </w:rPr>
        <w:t>los</w:t>
      </w:r>
      <w:r w:rsidRPr="4DC430F9">
        <w:rPr>
          <w:rFonts w:eastAsiaTheme="minorEastAsia"/>
          <w:color w:val="000000" w:themeColor="text1"/>
        </w:rPr>
        <w:t xml:space="preserve"> antiguos proyectos </w:t>
      </w:r>
      <w:r w:rsidRPr="3155A70D">
        <w:rPr>
          <w:rFonts w:eastAsiaTheme="minorEastAsia"/>
          <w:color w:val="000000" w:themeColor="text1"/>
        </w:rPr>
        <w:t>FAZNI</w:t>
      </w:r>
      <w:r w:rsidRPr="4DC430F9">
        <w:rPr>
          <w:rFonts w:eastAsiaTheme="minorEastAsia"/>
          <w:color w:val="000000" w:themeColor="text1"/>
        </w:rPr>
        <w:t xml:space="preserve">, FAER </w:t>
      </w:r>
      <w:r w:rsidRPr="6057D6C2">
        <w:rPr>
          <w:rFonts w:eastAsiaTheme="minorEastAsia"/>
          <w:color w:val="000000" w:themeColor="text1"/>
        </w:rPr>
        <w:t>y PRONE</w:t>
      </w:r>
      <w:r w:rsidRPr="3155A70D">
        <w:rPr>
          <w:rFonts w:eastAsiaTheme="minorEastAsia"/>
          <w:color w:val="000000" w:themeColor="text1"/>
        </w:rPr>
        <w:t xml:space="preserve"> hacia el proyecto de inversión que soporta la ejecución de FONENERGÍA.</w:t>
      </w:r>
    </w:p>
    <w:p w:rsidR="00362941" w:rsidP="00D97D31" w:rsidRDefault="00362941" w14:paraId="23F304F7" w14:textId="77777777">
      <w:pPr>
        <w:pStyle w:val="ListBullet"/>
        <w:numPr>
          <w:ilvl w:val="0"/>
          <w:numId w:val="29"/>
        </w:numPr>
        <w:tabs>
          <w:tab w:val="num" w:pos="360"/>
        </w:tabs>
        <w:spacing w:after="120"/>
        <w:ind w:hanging="216"/>
        <w:jc w:val="both"/>
        <w:rPr>
          <w:rFonts w:eastAsiaTheme="minorEastAsia"/>
          <w:color w:val="000000" w:themeColor="text1"/>
        </w:rPr>
      </w:pPr>
      <w:r w:rsidRPr="3155A70D">
        <w:rPr>
          <w:rFonts w:eastAsiaTheme="minorEastAsia"/>
          <w:color w:val="000000" w:themeColor="text1"/>
        </w:rPr>
        <w:t>Preservación de la destinación específica. El traslado no cambia la finalidad de los recursos. Al incorporarse al proyecto de inversión de FONENERGÍA, los recursos deben mantenerse en la subcuenta de energía eléctrica y destinarse a planes, programas o proyectos compatibles con la expansión de cobertura, mejoramiento de calidad, confiabilidad, sostenibilidad, atención de necesidades en el SIN y en la ZNI. Por tanto, no hay desviación de finalidad, sino continuidad material bajo un instrumento actualizado.</w:t>
      </w:r>
    </w:p>
    <w:p w:rsidR="00362941" w:rsidP="00D97D31" w:rsidRDefault="00362941" w14:paraId="3D122FED" w14:textId="77777777">
      <w:pPr>
        <w:pStyle w:val="ListBullet"/>
        <w:numPr>
          <w:ilvl w:val="0"/>
          <w:numId w:val="29"/>
        </w:numPr>
        <w:tabs>
          <w:tab w:val="num" w:pos="360"/>
        </w:tabs>
        <w:spacing w:after="120"/>
        <w:ind w:hanging="216"/>
        <w:jc w:val="both"/>
        <w:rPr>
          <w:rFonts w:eastAsiaTheme="minorEastAsia"/>
          <w:color w:val="000000" w:themeColor="text1"/>
        </w:rPr>
      </w:pPr>
      <w:r w:rsidRPr="3155A70D">
        <w:rPr>
          <w:rFonts w:eastAsiaTheme="minorEastAsia"/>
          <w:color w:val="000000" w:themeColor="text1"/>
        </w:rPr>
        <w:t>Mayor capacidad de focalización y coordinación. FONENERGÍA fue diseñado para coordinar, articular y focalizar diferentes fuentes de recursos, reduciendo la dispersión de fondos y permitiendo decisiones integrales sobre prioridades territoriales. Esta capacidad resulta crítica para las ZNI, donde las intervenciones requieren articulación entre estructuración técnica, disponibilidad presupuestal, sostenibilidad de la operación, administración de activos, seguimiento financiero y coordinación con prestadores, entidades territoriales, IPSE y demás actores sectoriales.</w:t>
      </w:r>
    </w:p>
    <w:p w:rsidR="00362941" w:rsidP="00D97D31" w:rsidRDefault="00362941" w14:paraId="7DC579C6" w14:textId="77777777">
      <w:pPr>
        <w:pStyle w:val="ListBullet"/>
        <w:numPr>
          <w:ilvl w:val="0"/>
          <w:numId w:val="29"/>
        </w:numPr>
        <w:tabs>
          <w:tab w:val="num" w:pos="360"/>
        </w:tabs>
        <w:spacing w:after="120"/>
        <w:ind w:hanging="216"/>
        <w:jc w:val="both"/>
        <w:rPr>
          <w:rFonts w:eastAsiaTheme="minorEastAsia"/>
          <w:color w:val="000000" w:themeColor="text1"/>
        </w:rPr>
      </w:pPr>
      <w:r w:rsidRPr="3155A70D">
        <w:rPr>
          <w:rFonts w:eastAsiaTheme="minorEastAsia"/>
          <w:color w:val="000000" w:themeColor="text1"/>
        </w:rPr>
        <w:t>Mitigación de riesgos de rezago presupuestal. Mantener recursos en un proyecto asociado a un fondo sustituido puede aumentar el riesgo de retrasos en la incorporación, asignación, compromiso y ejecución efectiva del gasto. El traslado al proyecto de inversión de FONENERGÍA reduce ese riesgo al ubicar los recursos en el Fondo competente para aprobar, asignar y ejecutar conforme al Manual Operativo y a las decisiones del Comité de Administración.</w:t>
      </w:r>
    </w:p>
    <w:p w:rsidR="00362941" w:rsidP="00D97D31" w:rsidRDefault="00362941" w14:paraId="1BDDA99A" w14:textId="77777777">
      <w:pPr>
        <w:pStyle w:val="ListBullet"/>
        <w:numPr>
          <w:ilvl w:val="0"/>
          <w:numId w:val="29"/>
        </w:numPr>
        <w:tabs>
          <w:tab w:val="num" w:pos="360"/>
        </w:tabs>
        <w:spacing w:after="120"/>
        <w:ind w:hanging="216"/>
        <w:jc w:val="both"/>
        <w:rPr>
          <w:rFonts w:eastAsiaTheme="minorEastAsia"/>
          <w:color w:val="000000" w:themeColor="text1"/>
        </w:rPr>
      </w:pPr>
      <w:r w:rsidRPr="3155A70D">
        <w:rPr>
          <w:rFonts w:eastAsiaTheme="minorEastAsia"/>
          <w:color w:val="000000" w:themeColor="text1"/>
        </w:rPr>
        <w:t>Fortalecimiento del seguimiento y la rendición de cuentas. FONENERGÍA concentra reglas de seguimiento técnico, financiero, administrativo y jurídico, lo que facilita el control de la ejecución, la verificación del cumplimiento de obligaciones, la trazabilidad de los activos financiados con recursos públicos y la prevención de doble reconocimiento tarifario cuando aplique. Esta concentración mejora la calidad de la información para la toma de decisiones y fortalece el control fiscal y administrativo.</w:t>
      </w:r>
    </w:p>
    <w:p w:rsidR="00362941" w:rsidP="00D97D31" w:rsidRDefault="00362941" w14:paraId="21C03869" w14:textId="77777777">
      <w:pPr>
        <w:pStyle w:val="ListBullet"/>
        <w:numPr>
          <w:ilvl w:val="0"/>
          <w:numId w:val="29"/>
        </w:numPr>
        <w:tabs>
          <w:tab w:val="num" w:pos="360"/>
        </w:tabs>
        <w:spacing w:after="120"/>
        <w:ind w:hanging="216"/>
        <w:jc w:val="both"/>
        <w:rPr>
          <w:rFonts w:eastAsiaTheme="minorEastAsia"/>
          <w:color w:val="000000" w:themeColor="text1"/>
        </w:rPr>
      </w:pPr>
      <w:r w:rsidRPr="3155A70D">
        <w:rPr>
          <w:rFonts w:eastAsiaTheme="minorEastAsia"/>
          <w:color w:val="000000" w:themeColor="text1"/>
        </w:rPr>
        <w:t>Contribución al cumplimiento de metas del Acuerdo de Paz y el Plan Nacional de Electrificación Rural. La reasignación permite acelerar la materialización de inversiones en cobertura, confiabilidad y transición energética justa, especialmente en territorios con mayores brechas de acceso y calidad del servicio. Al ubicar los recursos en el FONENERGIA, se aumenta la capacidad institucional de priorizar intervenciones de alto impacto, cerrar brechas energéticas y avanzar en soluciones sostenibles para comunidades apartadas.</w:t>
      </w:r>
    </w:p>
    <w:p w:rsidR="00362941" w:rsidP="00D97D31" w:rsidRDefault="00362941" w14:paraId="6640E836" w14:textId="77777777">
      <w:pPr>
        <w:pStyle w:val="ListBullet"/>
        <w:numPr>
          <w:ilvl w:val="0"/>
          <w:numId w:val="29"/>
        </w:numPr>
        <w:tabs>
          <w:tab w:val="num" w:pos="360"/>
        </w:tabs>
        <w:spacing w:after="120"/>
        <w:ind w:hanging="216"/>
        <w:jc w:val="both"/>
        <w:rPr>
          <w:rFonts w:eastAsiaTheme="minorEastAsia"/>
          <w:color w:val="000000" w:themeColor="text1"/>
        </w:rPr>
      </w:pPr>
      <w:r w:rsidRPr="3155A70D">
        <w:rPr>
          <w:rFonts w:eastAsiaTheme="minorEastAsia"/>
          <w:color w:val="000000" w:themeColor="text1"/>
        </w:rPr>
        <w:t>Eficiencia en la administración de recursos públicos. La concentración de recursos en FONENERGÍA disminuye costos de coordinación, evita duplicidades procedimentales, reduce dispersión de saldos y permite una planeación presupuestal más consistente con el Marco Fiscal de Mediano Plazo y el Marco de Gasto de Mediano Plazo del sector Minas y Energía.</w:t>
      </w:r>
    </w:p>
    <w:p w:rsidRPr="00D22C82" w:rsidR="006726A9" w:rsidP="00D97D31" w:rsidRDefault="005C079A" w14:paraId="5CC9C4FB" w14:textId="7A20D5A0">
      <w:pPr>
        <w:pStyle w:val="Heading1"/>
        <w:numPr>
          <w:ilvl w:val="0"/>
          <w:numId w:val="19"/>
        </w:numPr>
      </w:pPr>
      <w:bookmarkStart w:name="_Toc230792121" w:id="16"/>
      <w:r>
        <w:t>AFECTACIÓN DE METAS DEL PROYECTO</w:t>
      </w:r>
      <w:bookmarkEnd w:id="16"/>
    </w:p>
    <w:p w:rsidR="00193920" w:rsidP="00D97D31" w:rsidRDefault="00193920" w14:paraId="35CC9DEC" w14:textId="77777777">
      <w:pPr>
        <w:pStyle w:val="ListParagraph"/>
        <w:spacing w:after="0" w:line="276" w:lineRule="auto"/>
        <w:jc w:val="both"/>
        <w:rPr>
          <w:rFonts w:ascii="Calibri" w:hAnsi="Calibri" w:cs="Calibri"/>
          <w:b/>
          <w:bCs/>
        </w:rPr>
      </w:pPr>
    </w:p>
    <w:p w:rsidR="00193920" w:rsidP="00D97D31" w:rsidRDefault="00193920" w14:paraId="452C67CB" w14:textId="49E3B98C">
      <w:pPr>
        <w:jc w:val="both"/>
        <w:rPr>
          <w:highlight w:val="yellow"/>
        </w:rPr>
      </w:pPr>
      <w:r>
        <w:rPr>
          <w:highlight w:val="yellow"/>
        </w:rPr>
        <w:t>L</w:t>
      </w:r>
      <w:r w:rsidRPr="10A34EC0">
        <w:rPr>
          <w:highlight w:val="yellow"/>
        </w:rPr>
        <w:t xml:space="preserve">a meta de cobertura para la vigencia 2026 contempla un total de 67.693 usuarios (ver desagregación en la </w:t>
      </w:r>
      <w:r w:rsidRPr="10A34EC0">
        <w:rPr>
          <w:b/>
          <w:highlight w:val="yellow"/>
        </w:rPr>
        <w:t xml:space="preserve">Tabla </w:t>
      </w:r>
      <w:r w:rsidR="00286344">
        <w:rPr>
          <w:b/>
          <w:highlight w:val="yellow"/>
        </w:rPr>
        <w:t>17</w:t>
      </w:r>
      <w:r w:rsidRPr="10A34EC0">
        <w:rPr>
          <w:highlight w:val="yellow"/>
        </w:rPr>
        <w:t xml:space="preserve">), vinculados a los proyectos de inversión </w:t>
      </w:r>
      <w:proofErr w:type="spellStart"/>
      <w:r w:rsidRPr="10A34EC0">
        <w:rPr>
          <w:highlight w:val="yellow"/>
        </w:rPr>
        <w:t>contracréditos</w:t>
      </w:r>
      <w:proofErr w:type="spellEnd"/>
      <w:r w:rsidRPr="10A34EC0">
        <w:rPr>
          <w:highlight w:val="yellow"/>
        </w:rPr>
        <w:t xml:space="preserve"> BPIN 2022011000082 “</w:t>
      </w:r>
      <w:r w:rsidRPr="10A34EC0">
        <w:rPr>
          <w:rFonts w:ascii="Calibri" w:hAnsi="Calibri" w:eastAsia="Calibri" w:cs="Calibri"/>
          <w:highlight w:val="yellow"/>
        </w:rPr>
        <w:t>Ampliación de la cobertura del servicio de energía eléctrica en las Zonas No Interconectadas – ZNI en el territorio Nacional</w:t>
      </w:r>
      <w:r w:rsidRPr="10A34EC0">
        <w:rPr>
          <w:highlight w:val="yellow"/>
        </w:rPr>
        <w:t>”, BPIN 2018011001048 “</w:t>
      </w:r>
      <w:r w:rsidRPr="10A34EC0">
        <w:rPr>
          <w:rFonts w:ascii="Calibri" w:hAnsi="Calibri" w:eastAsia="Calibri" w:cs="Calibri"/>
          <w:highlight w:val="yellow"/>
        </w:rPr>
        <w:t>Mejoramiento del servicio de energía eléctrica en las zonas rurales del territorio nacional”</w:t>
      </w:r>
      <w:r w:rsidRPr="10A34EC0">
        <w:rPr>
          <w:highlight w:val="yellow"/>
        </w:rPr>
        <w:t xml:space="preserve"> y BPIN 2018011001045 “</w:t>
      </w:r>
      <w:r w:rsidRPr="10A34EC0">
        <w:rPr>
          <w:rFonts w:ascii="Calibri" w:hAnsi="Calibri" w:eastAsia="Calibri" w:cs="Calibri"/>
          <w:highlight w:val="yellow"/>
        </w:rPr>
        <w:t>Mejoramiento de la calidad y confiabilidad del servicio de energía eléctrica en los barrios subnormales ubicados en los municipios del sistema interconectado a nivel nacional</w:t>
      </w:r>
      <w:r w:rsidRPr="10A34EC0">
        <w:rPr>
          <w:highlight w:val="yellow"/>
        </w:rPr>
        <w:t>”.</w:t>
      </w:r>
    </w:p>
    <w:p w:rsidR="00193920" w:rsidP="00D97D31" w:rsidRDefault="00193920" w14:paraId="5396ABDD" w14:textId="6F5D5F37">
      <w:pPr>
        <w:spacing w:after="0"/>
        <w:jc w:val="center"/>
        <w:rPr>
          <w:rFonts w:ascii="Calibri" w:hAnsi="Calibri" w:cs="Calibri"/>
          <w:b/>
          <w:highlight w:val="yellow"/>
        </w:rPr>
      </w:pPr>
      <w:r w:rsidRPr="13E5DE94">
        <w:rPr>
          <w:rFonts w:ascii="Calibri" w:hAnsi="Calibri" w:cs="Calibri"/>
          <w:b/>
          <w:highlight w:val="yellow"/>
        </w:rPr>
        <w:t xml:space="preserve">Tabla </w:t>
      </w:r>
      <w:r w:rsidR="00286344">
        <w:rPr>
          <w:rFonts w:ascii="Calibri" w:hAnsi="Calibri" w:cs="Calibri"/>
          <w:b/>
          <w:highlight w:val="yellow"/>
        </w:rPr>
        <w:t>17</w:t>
      </w:r>
      <w:r w:rsidRPr="13E5DE94">
        <w:rPr>
          <w:rFonts w:ascii="Calibri" w:hAnsi="Calibri" w:cs="Calibri"/>
          <w:b/>
          <w:highlight w:val="yellow"/>
        </w:rPr>
        <w:t>. Metas de 2026 de los proyectos de inversión BPIN 2022011000082, BPIN 2018011001048 y BPIN 2018011001045</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6A0" w:firstRow="1" w:lastRow="0" w:firstColumn="1" w:lastColumn="0" w:noHBand="1" w:noVBand="1"/>
      </w:tblPr>
      <w:tblGrid>
        <w:gridCol w:w="4531"/>
        <w:gridCol w:w="3686"/>
        <w:gridCol w:w="1173"/>
      </w:tblGrid>
      <w:tr w:rsidR="00193920" w14:paraId="4B91D2E9" w14:textId="77777777">
        <w:trPr>
          <w:trHeight w:val="300"/>
        </w:trPr>
        <w:tc>
          <w:tcPr>
            <w:tcW w:w="4531" w:type="dxa"/>
            <w:shd w:val="clear" w:color="auto" w:fill="D9E2F3" w:themeFill="accent1" w:themeFillTint="33"/>
            <w:vAlign w:val="center"/>
          </w:tcPr>
          <w:p w:rsidRPr="00095022" w:rsidR="00193920" w:rsidP="00D97D31" w:rsidRDefault="00193920" w14:paraId="564C244F" w14:textId="77777777">
            <w:pPr>
              <w:spacing w:after="0"/>
              <w:jc w:val="center"/>
              <w:rPr>
                <w:b/>
                <w:bCs/>
                <w:highlight w:val="yellow"/>
              </w:rPr>
            </w:pPr>
            <w:r w:rsidRPr="00095022">
              <w:rPr>
                <w:b/>
                <w:bCs/>
                <w:highlight w:val="yellow"/>
              </w:rPr>
              <w:t>Proyecto de inversión</w:t>
            </w:r>
          </w:p>
        </w:tc>
        <w:tc>
          <w:tcPr>
            <w:tcW w:w="3686" w:type="dxa"/>
            <w:shd w:val="clear" w:color="auto" w:fill="D9E2F3" w:themeFill="accent1" w:themeFillTint="33"/>
            <w:vAlign w:val="center"/>
          </w:tcPr>
          <w:p w:rsidRPr="00095022" w:rsidR="00193920" w:rsidP="00D97D31" w:rsidRDefault="00193920" w14:paraId="4219E189" w14:textId="77777777">
            <w:pPr>
              <w:spacing w:after="0"/>
              <w:jc w:val="center"/>
              <w:rPr>
                <w:b/>
                <w:bCs/>
                <w:highlight w:val="yellow"/>
              </w:rPr>
            </w:pPr>
            <w:r w:rsidRPr="00095022">
              <w:rPr>
                <w:b/>
                <w:bCs/>
                <w:highlight w:val="yellow"/>
              </w:rPr>
              <w:t>Indicador</w:t>
            </w:r>
          </w:p>
        </w:tc>
        <w:tc>
          <w:tcPr>
            <w:tcW w:w="1173" w:type="dxa"/>
            <w:shd w:val="clear" w:color="auto" w:fill="D9E2F3" w:themeFill="accent1" w:themeFillTint="33"/>
            <w:vAlign w:val="center"/>
          </w:tcPr>
          <w:p w:rsidRPr="00095022" w:rsidR="00193920" w:rsidP="00D97D31" w:rsidRDefault="00193920" w14:paraId="75EE21C1" w14:textId="77777777">
            <w:pPr>
              <w:spacing w:after="0"/>
              <w:jc w:val="center"/>
              <w:rPr>
                <w:b/>
                <w:bCs/>
                <w:highlight w:val="yellow"/>
              </w:rPr>
            </w:pPr>
            <w:r w:rsidRPr="00095022">
              <w:rPr>
                <w:b/>
                <w:bCs/>
                <w:highlight w:val="yellow"/>
              </w:rPr>
              <w:t>Meta 2026</w:t>
            </w:r>
          </w:p>
        </w:tc>
      </w:tr>
      <w:tr w:rsidR="00193920" w14:paraId="11664BF8" w14:textId="77777777">
        <w:trPr>
          <w:trHeight w:val="341"/>
        </w:trPr>
        <w:tc>
          <w:tcPr>
            <w:tcW w:w="4531" w:type="dxa"/>
            <w:vMerge w:val="restart"/>
          </w:tcPr>
          <w:p w:rsidR="00193920" w:rsidP="00D97D31" w:rsidRDefault="00193920" w14:paraId="345520C4" w14:textId="77777777">
            <w:pPr>
              <w:spacing w:after="0"/>
              <w:rPr>
                <w:highlight w:val="yellow"/>
              </w:rPr>
            </w:pPr>
            <w:r w:rsidRPr="10A34EC0">
              <w:rPr>
                <w:rFonts w:ascii="Calibri" w:hAnsi="Calibri" w:eastAsia="Calibri" w:cs="Calibri"/>
                <w:highlight w:val="yellow"/>
              </w:rPr>
              <w:t>Ampliación de la cobertura del servicio de energía eléctrica en las Zonas No Interconectadas – ZNI en el territorio Nacional</w:t>
            </w:r>
          </w:p>
          <w:p w:rsidR="00193920" w:rsidP="00D97D31" w:rsidRDefault="00193920" w14:paraId="40D6DD2A" w14:textId="77777777">
            <w:pPr>
              <w:spacing w:after="0"/>
              <w:rPr>
                <w:highlight w:val="yellow"/>
              </w:rPr>
            </w:pPr>
            <w:r w:rsidRPr="13E5DE94">
              <w:rPr>
                <w:highlight w:val="yellow"/>
              </w:rPr>
              <w:t>FAZNI</w:t>
            </w:r>
          </w:p>
        </w:tc>
        <w:tc>
          <w:tcPr>
            <w:tcW w:w="3686" w:type="dxa"/>
          </w:tcPr>
          <w:p w:rsidR="00193920" w:rsidP="00D97D31" w:rsidRDefault="00193920" w14:paraId="0DEF658F" w14:textId="77777777">
            <w:pPr>
              <w:spacing w:after="0"/>
              <w:rPr>
                <w:highlight w:val="yellow"/>
              </w:rPr>
            </w:pPr>
            <w:r w:rsidRPr="13E5DE94">
              <w:rPr>
                <w:highlight w:val="yellow"/>
              </w:rPr>
              <w:t>Usuarios beneficiados con la ampliación de cobertura</w:t>
            </w:r>
          </w:p>
        </w:tc>
        <w:tc>
          <w:tcPr>
            <w:tcW w:w="1173" w:type="dxa"/>
          </w:tcPr>
          <w:p w:rsidR="00193920" w:rsidP="00D97D31" w:rsidRDefault="00193920" w14:paraId="3417D580" w14:textId="77777777">
            <w:pPr>
              <w:spacing w:after="0"/>
              <w:jc w:val="center"/>
              <w:rPr>
                <w:highlight w:val="yellow"/>
              </w:rPr>
            </w:pPr>
            <w:r w:rsidRPr="13E5DE94">
              <w:rPr>
                <w:highlight w:val="yellow"/>
              </w:rPr>
              <w:t>16.771</w:t>
            </w:r>
          </w:p>
        </w:tc>
      </w:tr>
      <w:tr w:rsidR="00193920" w14:paraId="61688714" w14:textId="77777777">
        <w:trPr>
          <w:trHeight w:val="330"/>
        </w:trPr>
        <w:tc>
          <w:tcPr>
            <w:tcW w:w="4531" w:type="dxa"/>
            <w:vMerge/>
          </w:tcPr>
          <w:p w:rsidR="00193920" w:rsidP="00D97D31" w:rsidRDefault="00193920" w14:paraId="1C7D32FA" w14:textId="77777777">
            <w:pPr>
              <w:spacing w:after="0"/>
              <w:rPr>
                <w:highlight w:val="yellow"/>
              </w:rPr>
            </w:pPr>
          </w:p>
        </w:tc>
        <w:tc>
          <w:tcPr>
            <w:tcW w:w="3686" w:type="dxa"/>
          </w:tcPr>
          <w:p w:rsidR="00193920" w:rsidP="00D97D31" w:rsidRDefault="00193920" w14:paraId="0A19580C" w14:textId="77777777">
            <w:pPr>
              <w:spacing w:after="0"/>
              <w:rPr>
                <w:highlight w:val="yellow"/>
              </w:rPr>
            </w:pPr>
            <w:r w:rsidRPr="13E5DE94">
              <w:rPr>
                <w:highlight w:val="yellow"/>
              </w:rPr>
              <w:t>Usuarios beneficiados con el mejoramiento de la infraestructura existente</w:t>
            </w:r>
          </w:p>
        </w:tc>
        <w:tc>
          <w:tcPr>
            <w:tcW w:w="1173" w:type="dxa"/>
          </w:tcPr>
          <w:p w:rsidR="00193920" w:rsidP="00D97D31" w:rsidRDefault="00193920" w14:paraId="095372D2" w14:textId="77777777">
            <w:pPr>
              <w:spacing w:after="0"/>
              <w:jc w:val="center"/>
              <w:rPr>
                <w:highlight w:val="yellow"/>
              </w:rPr>
            </w:pPr>
            <w:r w:rsidRPr="13E5DE94">
              <w:rPr>
                <w:highlight w:val="yellow"/>
              </w:rPr>
              <w:t>0</w:t>
            </w:r>
          </w:p>
        </w:tc>
      </w:tr>
      <w:tr w:rsidR="00193920" w14:paraId="7D89CA17" w14:textId="77777777">
        <w:trPr>
          <w:trHeight w:val="300"/>
        </w:trPr>
        <w:tc>
          <w:tcPr>
            <w:tcW w:w="4531" w:type="dxa"/>
            <w:vMerge w:val="restart"/>
          </w:tcPr>
          <w:p w:rsidR="00193920" w:rsidP="00D97D31" w:rsidRDefault="00193920" w14:paraId="0212EB3A" w14:textId="77777777">
            <w:pPr>
              <w:spacing w:after="0"/>
              <w:rPr>
                <w:highlight w:val="yellow"/>
              </w:rPr>
            </w:pPr>
            <w:r w:rsidRPr="10A34EC0">
              <w:rPr>
                <w:rFonts w:ascii="Calibri" w:hAnsi="Calibri" w:eastAsia="Calibri" w:cs="Calibri"/>
                <w:highlight w:val="yellow"/>
              </w:rPr>
              <w:t>Mejoramiento del servicio de energía eléctrica en las zonas rurales del territorio nacional</w:t>
            </w:r>
          </w:p>
          <w:p w:rsidR="00193920" w:rsidP="00D97D31" w:rsidRDefault="00193920" w14:paraId="2AD6C532" w14:textId="77777777">
            <w:pPr>
              <w:spacing w:after="0"/>
              <w:rPr>
                <w:highlight w:val="yellow"/>
              </w:rPr>
            </w:pPr>
            <w:r w:rsidRPr="13E5DE94">
              <w:rPr>
                <w:highlight w:val="yellow"/>
              </w:rPr>
              <w:t>FAER</w:t>
            </w:r>
          </w:p>
        </w:tc>
        <w:tc>
          <w:tcPr>
            <w:tcW w:w="3686" w:type="dxa"/>
          </w:tcPr>
          <w:p w:rsidR="00193920" w:rsidP="00D97D31" w:rsidRDefault="00193920" w14:paraId="0C57E0B1" w14:textId="77777777">
            <w:pPr>
              <w:spacing w:after="0"/>
              <w:rPr>
                <w:highlight w:val="yellow"/>
              </w:rPr>
            </w:pPr>
            <w:r w:rsidRPr="13E5DE94">
              <w:rPr>
                <w:highlight w:val="yellow"/>
              </w:rPr>
              <w:t>Usuarios beneficiados con la ampliación de cobertura</w:t>
            </w:r>
          </w:p>
        </w:tc>
        <w:tc>
          <w:tcPr>
            <w:tcW w:w="1173" w:type="dxa"/>
          </w:tcPr>
          <w:p w:rsidR="00193920" w:rsidP="00D97D31" w:rsidRDefault="00193920" w14:paraId="2253A265" w14:textId="77777777">
            <w:pPr>
              <w:spacing w:after="0"/>
              <w:jc w:val="center"/>
              <w:rPr>
                <w:highlight w:val="yellow"/>
              </w:rPr>
            </w:pPr>
            <w:r w:rsidRPr="13E5DE94">
              <w:rPr>
                <w:highlight w:val="yellow"/>
              </w:rPr>
              <w:t>11.882</w:t>
            </w:r>
          </w:p>
        </w:tc>
      </w:tr>
      <w:tr w:rsidR="00193920" w14:paraId="1BE1847A" w14:textId="77777777">
        <w:trPr>
          <w:trHeight w:val="300"/>
        </w:trPr>
        <w:tc>
          <w:tcPr>
            <w:tcW w:w="4531" w:type="dxa"/>
            <w:vMerge/>
            <w:vAlign w:val="center"/>
          </w:tcPr>
          <w:p w:rsidR="00193920" w:rsidP="00D97D31" w:rsidRDefault="00193920" w14:paraId="2A1AC68C" w14:textId="77777777">
            <w:pPr>
              <w:spacing w:after="0"/>
              <w:rPr>
                <w:highlight w:val="yellow"/>
              </w:rPr>
            </w:pPr>
          </w:p>
        </w:tc>
        <w:tc>
          <w:tcPr>
            <w:tcW w:w="3686" w:type="dxa"/>
          </w:tcPr>
          <w:p w:rsidR="00193920" w:rsidP="00D97D31" w:rsidRDefault="00193920" w14:paraId="603FBBCE" w14:textId="77777777">
            <w:pPr>
              <w:spacing w:after="0"/>
              <w:rPr>
                <w:highlight w:val="yellow"/>
              </w:rPr>
            </w:pPr>
            <w:r w:rsidRPr="13E5DE94">
              <w:rPr>
                <w:highlight w:val="yellow"/>
              </w:rPr>
              <w:t>Usuarios beneficiados con del mejoramiento de la infraestructura eléctrica</w:t>
            </w:r>
          </w:p>
        </w:tc>
        <w:tc>
          <w:tcPr>
            <w:tcW w:w="1173" w:type="dxa"/>
          </w:tcPr>
          <w:p w:rsidR="00193920" w:rsidP="00D97D31" w:rsidRDefault="00193920" w14:paraId="0814AA9A" w14:textId="77777777">
            <w:pPr>
              <w:spacing w:after="0"/>
              <w:jc w:val="center"/>
              <w:rPr>
                <w:highlight w:val="yellow"/>
              </w:rPr>
            </w:pPr>
            <w:r w:rsidRPr="13E5DE94">
              <w:rPr>
                <w:highlight w:val="yellow"/>
              </w:rPr>
              <w:t>26.373</w:t>
            </w:r>
          </w:p>
        </w:tc>
      </w:tr>
      <w:tr w:rsidR="00193920" w14:paraId="7723FDE7" w14:textId="77777777">
        <w:trPr>
          <w:trHeight w:val="300"/>
        </w:trPr>
        <w:tc>
          <w:tcPr>
            <w:tcW w:w="4531" w:type="dxa"/>
            <w:vAlign w:val="center"/>
          </w:tcPr>
          <w:p w:rsidR="00193920" w:rsidP="00D97D31" w:rsidRDefault="00193920" w14:paraId="35A40E71" w14:textId="77777777">
            <w:pPr>
              <w:spacing w:after="0"/>
              <w:rPr>
                <w:highlight w:val="yellow"/>
              </w:rPr>
            </w:pPr>
            <w:r w:rsidRPr="10A34EC0">
              <w:rPr>
                <w:rFonts w:ascii="Calibri" w:hAnsi="Calibri" w:eastAsia="Calibri" w:cs="Calibri"/>
                <w:highlight w:val="yellow"/>
              </w:rPr>
              <w:t>Mejoramiento de la calidad y confiabilidad del servicio de energía eléctrica en los barrios subnormales ubicados en los municipios del sistema interconectado a nivel nacional</w:t>
            </w:r>
          </w:p>
        </w:tc>
        <w:tc>
          <w:tcPr>
            <w:tcW w:w="3686" w:type="dxa"/>
          </w:tcPr>
          <w:p w:rsidR="00193920" w:rsidP="00D97D31" w:rsidRDefault="00193920" w14:paraId="71CAE1E2" w14:textId="77777777">
            <w:pPr>
              <w:spacing w:after="0"/>
              <w:rPr>
                <w:highlight w:val="yellow"/>
              </w:rPr>
            </w:pPr>
            <w:r w:rsidRPr="13E5DE94">
              <w:rPr>
                <w:highlight w:val="yellow"/>
              </w:rPr>
              <w:t>Usuarios beneficiados con la normalización del servicio de energía eléctrica</w:t>
            </w:r>
          </w:p>
        </w:tc>
        <w:tc>
          <w:tcPr>
            <w:tcW w:w="1173" w:type="dxa"/>
          </w:tcPr>
          <w:p w:rsidR="00193920" w:rsidP="00D97D31" w:rsidRDefault="00193920" w14:paraId="0F489D55" w14:textId="77777777">
            <w:pPr>
              <w:spacing w:after="0"/>
              <w:jc w:val="center"/>
              <w:rPr>
                <w:highlight w:val="yellow"/>
              </w:rPr>
            </w:pPr>
            <w:r w:rsidRPr="13E5DE94">
              <w:rPr>
                <w:highlight w:val="yellow"/>
              </w:rPr>
              <w:t>12.937</w:t>
            </w:r>
          </w:p>
          <w:p w:rsidR="00193920" w:rsidP="00D97D31" w:rsidRDefault="00193920" w14:paraId="6FC86DAA" w14:textId="77777777">
            <w:pPr>
              <w:spacing w:after="0"/>
              <w:jc w:val="center"/>
              <w:rPr>
                <w:highlight w:val="yellow"/>
              </w:rPr>
            </w:pPr>
          </w:p>
        </w:tc>
      </w:tr>
      <w:tr w:rsidR="00AD32B1" w14:paraId="57AEE18B" w14:textId="77777777">
        <w:trPr>
          <w:trHeight w:val="300"/>
        </w:trPr>
        <w:tc>
          <w:tcPr>
            <w:tcW w:w="8217" w:type="dxa"/>
            <w:gridSpan w:val="2"/>
            <w:shd w:val="clear" w:color="auto" w:fill="D9E2F3" w:themeFill="accent1" w:themeFillTint="33"/>
            <w:vAlign w:val="center"/>
          </w:tcPr>
          <w:p w:rsidRPr="00AD32B1" w:rsidR="00AD32B1" w:rsidP="00D97D31" w:rsidRDefault="00AD32B1" w14:paraId="6BD5B2EA" w14:textId="6E056BA1">
            <w:pPr>
              <w:spacing w:after="0"/>
              <w:jc w:val="center"/>
              <w:rPr>
                <w:b/>
                <w:bCs/>
                <w:highlight w:val="yellow"/>
              </w:rPr>
            </w:pPr>
            <w:r w:rsidRPr="00AD32B1">
              <w:rPr>
                <w:rFonts w:ascii="Calibri" w:hAnsi="Calibri" w:eastAsia="Calibri" w:cs="Calibri"/>
                <w:b/>
                <w:bCs/>
                <w:highlight w:val="yellow"/>
              </w:rPr>
              <w:t>Total</w:t>
            </w:r>
          </w:p>
        </w:tc>
        <w:tc>
          <w:tcPr>
            <w:tcW w:w="1173" w:type="dxa"/>
          </w:tcPr>
          <w:p w:rsidRPr="00AD32B1" w:rsidR="00AD32B1" w:rsidP="00D97D31" w:rsidRDefault="00AD32B1" w14:paraId="003DA350" w14:textId="76B33CC7">
            <w:pPr>
              <w:spacing w:after="0"/>
              <w:jc w:val="center"/>
              <w:rPr>
                <w:b/>
                <w:bCs/>
                <w:highlight w:val="yellow"/>
              </w:rPr>
            </w:pPr>
            <w:r w:rsidRPr="00AD32B1">
              <w:rPr>
                <w:b/>
                <w:bCs/>
              </w:rPr>
              <w:t>67.693</w:t>
            </w:r>
          </w:p>
        </w:tc>
      </w:tr>
    </w:tbl>
    <w:p w:rsidR="00193920" w:rsidP="00D97D31" w:rsidRDefault="00193920" w14:paraId="3AD07D88" w14:textId="77777777">
      <w:pPr>
        <w:spacing w:after="0"/>
        <w:ind w:left="-426"/>
        <w:jc w:val="center"/>
        <w:rPr>
          <w:rFonts w:ascii="Calibri" w:hAnsi="Calibri" w:cs="Calibri"/>
          <w:highlight w:val="yellow"/>
        </w:rPr>
      </w:pPr>
      <w:r w:rsidRPr="13E5DE94">
        <w:rPr>
          <w:b/>
          <w:i/>
          <w:sz w:val="18"/>
          <w:szCs w:val="18"/>
          <w:highlight w:val="yellow"/>
        </w:rPr>
        <w:t xml:space="preserve">Fuente: </w:t>
      </w:r>
      <w:r w:rsidRPr="13E5DE94">
        <w:rPr>
          <w:sz w:val="18"/>
          <w:szCs w:val="18"/>
          <w:highlight w:val="yellow"/>
        </w:rPr>
        <w:t xml:space="preserve">PIIP – Meta de los proyectos de inversión </w:t>
      </w:r>
      <w:proofErr w:type="spellStart"/>
      <w:r w:rsidRPr="13E5DE94">
        <w:rPr>
          <w:sz w:val="18"/>
          <w:szCs w:val="18"/>
          <w:highlight w:val="yellow"/>
        </w:rPr>
        <w:t>contracreditos</w:t>
      </w:r>
      <w:proofErr w:type="spellEnd"/>
    </w:p>
    <w:p w:rsidR="00193920" w:rsidP="00D97D31" w:rsidRDefault="00193920" w14:paraId="6B6C928F" w14:textId="77777777">
      <w:pPr>
        <w:spacing w:after="0"/>
        <w:jc w:val="both"/>
        <w:rPr>
          <w:highlight w:val="yellow"/>
        </w:rPr>
      </w:pPr>
    </w:p>
    <w:p w:rsidR="00193920" w:rsidP="00D97D31" w:rsidRDefault="00193920" w14:paraId="3F3F7514" w14:textId="77777777">
      <w:pPr>
        <w:spacing w:after="0"/>
        <w:jc w:val="both"/>
        <w:rPr>
          <w:highlight w:val="yellow"/>
        </w:rPr>
      </w:pPr>
      <w:r w:rsidRPr="13E5DE94">
        <w:rPr>
          <w:highlight w:val="yellow"/>
        </w:rPr>
        <w:t>De este total, 61.364 usuarios se conectarán mediante los proyectos contratados durante las vigencias 2024, 2025 y 2026 que actualmente se encuentran en ejecución y fueron financiados a través de los siguientes fondos de inversión: FAZNI (16.771 beneficiarios en ZNI), FAER (33.603 beneficiarios en zonas rurales) y PRONE (10.990 beneficiarios en normalización de redes).</w:t>
      </w:r>
    </w:p>
    <w:p w:rsidR="00193920" w:rsidP="00D97D31" w:rsidRDefault="00193920" w14:paraId="007B674C" w14:textId="77777777">
      <w:pPr>
        <w:spacing w:after="0"/>
        <w:jc w:val="both"/>
        <w:rPr>
          <w:highlight w:val="yellow"/>
        </w:rPr>
      </w:pPr>
    </w:p>
    <w:p w:rsidR="00193920" w:rsidP="00D97D31" w:rsidRDefault="00193920" w14:paraId="193678B9" w14:textId="28485D1D">
      <w:pPr>
        <w:spacing w:after="0"/>
        <w:jc w:val="both"/>
        <w:rPr>
          <w:highlight w:val="yellow"/>
        </w:rPr>
      </w:pPr>
      <w:r w:rsidRPr="13E5DE94">
        <w:rPr>
          <w:highlight w:val="yellow"/>
        </w:rPr>
        <w:t xml:space="preserve">Sin embargo, dado que los contratos vigentes no cubren la totalidad del objetivo, la diferencia restante de 6.329 usuarios constituirá un rezago que será trasladado a FONENERGÍA, por ende el cumplimiento definitivo de la meta se alcanzará mediante la ejecución de $100.319.040.000 que se pretende trasladar al proyecto de </w:t>
      </w:r>
      <w:r w:rsidRPr="00EA1F13">
        <w:rPr>
          <w:highlight w:val="yellow"/>
        </w:rPr>
        <w:t xml:space="preserve">inversión BPIN </w:t>
      </w:r>
      <w:r w:rsidRPr="00EA1F13" w:rsidR="00711D3A">
        <w:rPr>
          <w:highlight w:val="yellow"/>
        </w:rPr>
        <w:t>202600000013949</w:t>
      </w:r>
      <w:r w:rsidRPr="00EA1F13">
        <w:rPr>
          <w:highlight w:val="yellow"/>
        </w:rPr>
        <w:t xml:space="preserve"> “Ampliación de la cobertura y normalización de redes en la prestación del servicio de energía eléctrica en el territorio nacional</w:t>
      </w:r>
      <w:r w:rsidRPr="13E5DE94">
        <w:rPr>
          <w:highlight w:val="yellow"/>
        </w:rPr>
        <w:t>” para la financiación de proyectos que están siendo tramitados ante el IPSE y la UPME.</w:t>
      </w:r>
      <w:r>
        <w:t xml:space="preserve"> </w:t>
      </w:r>
    </w:p>
    <w:p w:rsidR="00F230C6" w:rsidP="00D97D31" w:rsidRDefault="00F230C6" w14:paraId="6388E757" w14:textId="77777777">
      <w:pPr>
        <w:spacing w:after="0"/>
        <w:jc w:val="both"/>
        <w:rPr>
          <w:highlight w:val="yellow"/>
        </w:rPr>
      </w:pPr>
    </w:p>
    <w:p w:rsidR="00F45660" w:rsidP="00BA76A9" w:rsidRDefault="0075793E" w14:paraId="53B60A9F" w14:textId="7876A981">
      <w:pPr>
        <w:pStyle w:val="Heading1"/>
        <w:numPr>
          <w:ilvl w:val="0"/>
          <w:numId w:val="19"/>
        </w:numPr>
        <w:spacing w:before="0"/>
      </w:pPr>
      <w:bookmarkStart w:name="_Toc230792122" w:id="17"/>
      <w:r w:rsidRPr="00393EB1">
        <w:t>RECOMENDACIÓN</w:t>
      </w:r>
      <w:bookmarkEnd w:id="17"/>
    </w:p>
    <w:p w:rsidR="0075793E" w:rsidP="00BA76A9" w:rsidRDefault="0075793E" w14:paraId="175382E3" w14:textId="77777777">
      <w:pPr>
        <w:jc w:val="both"/>
        <w:rPr>
          <w:rFonts w:eastAsiaTheme="minorEastAsia"/>
          <w:color w:val="000000" w:themeColor="text1"/>
        </w:rPr>
      </w:pPr>
    </w:p>
    <w:p w:rsidR="00F45660" w:rsidP="00BA76A9" w:rsidRDefault="6354F271" w14:paraId="2CCF1915" w14:textId="73E6A388">
      <w:pPr>
        <w:jc w:val="both"/>
        <w:rPr>
          <w:rFonts w:eastAsiaTheme="minorEastAsia"/>
          <w:color w:val="000000" w:themeColor="text1"/>
        </w:rPr>
      </w:pPr>
      <w:r w:rsidRPr="3155A70D">
        <w:rPr>
          <w:rFonts w:eastAsiaTheme="minorEastAsia"/>
          <w:color w:val="000000" w:themeColor="text1"/>
        </w:rPr>
        <w:t>Con fundamento en el análisis anterior, se considera técnica</w:t>
      </w:r>
      <w:r w:rsidR="0031513E">
        <w:rPr>
          <w:rFonts w:eastAsiaTheme="minorEastAsia"/>
          <w:color w:val="000000" w:themeColor="text1"/>
        </w:rPr>
        <w:t>mente</w:t>
      </w:r>
      <w:r w:rsidRPr="3155A70D">
        <w:rPr>
          <w:rFonts w:eastAsiaTheme="minorEastAsia"/>
          <w:color w:val="000000" w:themeColor="text1"/>
        </w:rPr>
        <w:t xml:space="preserve"> necesario y presupuestalmente conveniente realizar el traslado de recursos por valor </w:t>
      </w:r>
      <w:r w:rsidRPr="1FB7A194" w:rsidR="49759354">
        <w:rPr>
          <w:rFonts w:eastAsiaTheme="minorEastAsia"/>
          <w:color w:val="000000" w:themeColor="text1"/>
        </w:rPr>
        <w:t>total</w:t>
      </w:r>
      <w:r w:rsidRPr="1FB7A194">
        <w:rPr>
          <w:rFonts w:eastAsiaTheme="minorEastAsia"/>
          <w:color w:val="000000" w:themeColor="text1"/>
        </w:rPr>
        <w:t xml:space="preserve"> </w:t>
      </w:r>
      <w:r w:rsidRPr="3155A70D">
        <w:rPr>
          <w:rFonts w:eastAsiaTheme="minorEastAsia"/>
          <w:color w:val="000000" w:themeColor="text1"/>
        </w:rPr>
        <w:t xml:space="preserve">de </w:t>
      </w:r>
      <w:r w:rsidRPr="3155A70D">
        <w:rPr>
          <w:rFonts w:eastAsiaTheme="minorEastAsia"/>
          <w:color w:val="000000" w:themeColor="text1"/>
          <w:highlight w:val="yellow"/>
        </w:rPr>
        <w:t>$</w:t>
      </w:r>
      <w:r w:rsidRPr="19D5D1F9" w:rsidR="7D05A51C">
        <w:rPr>
          <w:rFonts w:eastAsiaTheme="minorEastAsia"/>
          <w:color w:val="000000" w:themeColor="text1"/>
          <w:highlight w:val="yellow"/>
        </w:rPr>
        <w:t xml:space="preserve">119.842.365.408 </w:t>
      </w:r>
      <w:r w:rsidRPr="6FC0509F" w:rsidR="35532E64">
        <w:rPr>
          <w:rFonts w:eastAsiaTheme="minorEastAsia"/>
          <w:color w:val="000000" w:themeColor="text1"/>
          <w:highlight w:val="yellow"/>
        </w:rPr>
        <w:t>distribuidos en</w:t>
      </w:r>
      <w:r w:rsidRPr="3155A70D">
        <w:rPr>
          <w:rFonts w:eastAsiaTheme="minorEastAsia"/>
          <w:color w:val="000000" w:themeColor="text1"/>
        </w:rPr>
        <w:t xml:space="preserve"> </w:t>
      </w:r>
      <w:r w:rsidRPr="03F1B42E" w:rsidR="709F1AC6">
        <w:rPr>
          <w:rFonts w:eastAsiaTheme="minorEastAsia"/>
          <w:color w:val="000000" w:themeColor="text1"/>
        </w:rPr>
        <w:t>los</w:t>
      </w:r>
      <w:r w:rsidRPr="03F1B42E">
        <w:rPr>
          <w:rFonts w:eastAsiaTheme="minorEastAsia"/>
          <w:color w:val="000000" w:themeColor="text1"/>
        </w:rPr>
        <w:t xml:space="preserve"> proyecto</w:t>
      </w:r>
      <w:r w:rsidRPr="03F1B42E" w:rsidR="4F80745B">
        <w:rPr>
          <w:rFonts w:eastAsiaTheme="minorEastAsia"/>
          <w:color w:val="000000" w:themeColor="text1"/>
        </w:rPr>
        <w:t>s</w:t>
      </w:r>
      <w:r w:rsidRPr="3155A70D">
        <w:rPr>
          <w:rFonts w:eastAsiaTheme="minorEastAsia"/>
          <w:color w:val="000000" w:themeColor="text1"/>
        </w:rPr>
        <w:t xml:space="preserve"> de inversión FAZNI BPIN 2022011000082 </w:t>
      </w:r>
      <w:r w:rsidRPr="2E675DA6" w:rsidR="0F49CAF8">
        <w:rPr>
          <w:rFonts w:eastAsiaTheme="minorEastAsia"/>
          <w:color w:val="000000" w:themeColor="text1"/>
        </w:rPr>
        <w:t xml:space="preserve">por un valor de </w:t>
      </w:r>
      <w:r w:rsidRPr="5071B7B5" w:rsidR="03BDF4C5">
        <w:rPr>
          <w:rFonts w:eastAsiaTheme="minorEastAsia"/>
          <w:color w:val="000000" w:themeColor="text1"/>
        </w:rPr>
        <w:t>$ 10.203.600.018</w:t>
      </w:r>
      <w:r w:rsidRPr="615579B0" w:rsidR="0F49CAF8">
        <w:rPr>
          <w:rFonts w:eastAsiaTheme="minorEastAsia"/>
          <w:color w:val="000000" w:themeColor="text1"/>
        </w:rPr>
        <w:t>,</w:t>
      </w:r>
      <w:r w:rsidRPr="2E675DA6" w:rsidR="0F49CAF8">
        <w:rPr>
          <w:rFonts w:eastAsiaTheme="minorEastAsia"/>
          <w:color w:val="000000" w:themeColor="text1"/>
        </w:rPr>
        <w:t xml:space="preserve"> FAER</w:t>
      </w:r>
      <w:r w:rsidRPr="2E675DA6">
        <w:rPr>
          <w:rFonts w:eastAsiaTheme="minorEastAsia"/>
          <w:color w:val="000000" w:themeColor="text1"/>
        </w:rPr>
        <w:t xml:space="preserve"> </w:t>
      </w:r>
      <w:r w:rsidRPr="328AC0F5" w:rsidR="778B27BB">
        <w:rPr>
          <w:rFonts w:eastAsiaTheme="minorEastAsia"/>
          <w:color w:val="000000" w:themeColor="text1"/>
        </w:rPr>
        <w:t xml:space="preserve">BPIN </w:t>
      </w:r>
      <w:r w:rsidR="5D163C90">
        <w:t>2018011001048</w:t>
      </w:r>
      <w:r w:rsidR="778B27BB">
        <w:t xml:space="preserve"> </w:t>
      </w:r>
      <w:r w:rsidRPr="5597BAE1" w:rsidR="778B27BB">
        <w:rPr>
          <w:rFonts w:eastAsiaTheme="minorEastAsia"/>
          <w:color w:val="000000" w:themeColor="text1"/>
        </w:rPr>
        <w:t xml:space="preserve">por un valor de </w:t>
      </w:r>
      <w:r w:rsidRPr="79EC8381" w:rsidR="7B2A7EE1">
        <w:rPr>
          <w:rFonts w:eastAsiaTheme="minorEastAsia"/>
          <w:color w:val="000000" w:themeColor="text1"/>
        </w:rPr>
        <w:t>$</w:t>
      </w:r>
      <w:r w:rsidRPr="533A97F5" w:rsidR="7B2A7EE1">
        <w:rPr>
          <w:rFonts w:eastAsiaTheme="minorEastAsia"/>
          <w:color w:val="000000" w:themeColor="text1"/>
        </w:rPr>
        <w:t xml:space="preserve"> </w:t>
      </w:r>
      <w:r w:rsidRPr="1DA0D0F8" w:rsidR="7C258688">
        <w:rPr>
          <w:rFonts w:eastAsiaTheme="minorEastAsia"/>
          <w:color w:val="000000" w:themeColor="text1"/>
        </w:rPr>
        <w:t>85.372.575.688</w:t>
      </w:r>
      <w:r w:rsidRPr="1DA0D0F8" w:rsidR="778B27BB">
        <w:rPr>
          <w:rFonts w:eastAsiaTheme="minorEastAsia"/>
          <w:color w:val="000000" w:themeColor="text1"/>
        </w:rPr>
        <w:t xml:space="preserve"> y PRONE BPIN </w:t>
      </w:r>
      <w:r w:rsidR="5D163C90">
        <w:t xml:space="preserve">2018011001045 </w:t>
      </w:r>
      <w:r w:rsidRPr="1DA0D0F8" w:rsidR="778B27BB">
        <w:rPr>
          <w:rFonts w:eastAsiaTheme="minorEastAsia"/>
          <w:color w:val="000000" w:themeColor="text1"/>
        </w:rPr>
        <w:t xml:space="preserve">por un valor de </w:t>
      </w:r>
      <w:r w:rsidRPr="1DA0D0F8" w:rsidR="7B2A7EE1">
        <w:rPr>
          <w:rFonts w:eastAsiaTheme="minorEastAsia"/>
          <w:color w:val="000000" w:themeColor="text1"/>
        </w:rPr>
        <w:t xml:space="preserve">$ </w:t>
      </w:r>
      <w:r w:rsidRPr="533A97F5" w:rsidR="7B2A7EE1">
        <w:rPr>
          <w:rFonts w:eastAsiaTheme="minorEastAsia"/>
          <w:color w:val="000000" w:themeColor="text1"/>
        </w:rPr>
        <w:t>24.266.189.702</w:t>
      </w:r>
      <w:r w:rsidRPr="02789875" w:rsidR="7B2A7EE1">
        <w:rPr>
          <w:rFonts w:eastAsiaTheme="minorEastAsia"/>
          <w:color w:val="000000" w:themeColor="text1"/>
        </w:rPr>
        <w:t xml:space="preserve"> </w:t>
      </w:r>
      <w:r w:rsidRPr="3155A70D">
        <w:rPr>
          <w:rFonts w:eastAsiaTheme="minorEastAsia"/>
          <w:color w:val="000000" w:themeColor="text1"/>
        </w:rPr>
        <w:t xml:space="preserve">hacia el proyecto de inversión de FONENERGÍA BPIN </w:t>
      </w:r>
      <w:r w:rsidRPr="00711D3A" w:rsidR="00711D3A">
        <w:rPr>
          <w:rFonts w:eastAsiaTheme="minorEastAsia"/>
          <w:color w:val="000000" w:themeColor="text1"/>
        </w:rPr>
        <w:t>202600000013949</w:t>
      </w:r>
      <w:r w:rsidRPr="3155A70D">
        <w:rPr>
          <w:rFonts w:eastAsiaTheme="minorEastAsia"/>
          <w:color w:val="000000" w:themeColor="text1"/>
        </w:rPr>
        <w:t>, con cargo a la subcuenta de energía eléctrica, con el fin de garantizar la adecuada continuidad de la política pública de energización de las Zonas No Interconectadas</w:t>
      </w:r>
      <w:r w:rsidRPr="61C31D23" w:rsidR="39B3127C">
        <w:rPr>
          <w:rFonts w:eastAsiaTheme="minorEastAsia"/>
          <w:color w:val="000000" w:themeColor="text1"/>
        </w:rPr>
        <w:t xml:space="preserve">, </w:t>
      </w:r>
      <w:r w:rsidRPr="619B7605" w:rsidR="39B3127C">
        <w:rPr>
          <w:rFonts w:eastAsiaTheme="minorEastAsia"/>
          <w:color w:val="000000" w:themeColor="text1"/>
        </w:rPr>
        <w:t xml:space="preserve">normalización de redes y </w:t>
      </w:r>
      <w:r w:rsidRPr="1668972A" w:rsidR="39B3127C">
        <w:rPr>
          <w:rFonts w:eastAsiaTheme="minorEastAsia"/>
          <w:color w:val="000000" w:themeColor="text1"/>
        </w:rPr>
        <w:t>ampliación de cobertura y mejoramiento en el SIN</w:t>
      </w:r>
      <w:r w:rsidRPr="3155A70D">
        <w:rPr>
          <w:rFonts w:eastAsiaTheme="minorEastAsia"/>
          <w:color w:val="000000" w:themeColor="text1"/>
        </w:rPr>
        <w:t xml:space="preserve"> bajo el marco institucional vigente.</w:t>
      </w:r>
    </w:p>
    <w:p w:rsidR="00F45660" w:rsidP="00D97D31" w:rsidRDefault="6354F271" w14:paraId="0FA8302C" w14:textId="5C6449BF">
      <w:pPr>
        <w:jc w:val="both"/>
        <w:rPr>
          <w:rFonts w:eastAsiaTheme="minorEastAsia"/>
          <w:color w:val="000000" w:themeColor="text1"/>
        </w:rPr>
      </w:pPr>
      <w:r w:rsidRPr="3155A70D">
        <w:rPr>
          <w:rFonts w:eastAsiaTheme="minorEastAsia"/>
          <w:color w:val="000000" w:themeColor="text1"/>
        </w:rPr>
        <w:t xml:space="preserve">La recomendación se sustenta en que FONENERGÍA es el instrumento legal, presupuestal y operativo que sustituyó a </w:t>
      </w:r>
      <w:r w:rsidRPr="0235F3C0" w:rsidR="321A927C">
        <w:rPr>
          <w:rFonts w:eastAsiaTheme="minorEastAsia"/>
          <w:color w:val="000000" w:themeColor="text1"/>
        </w:rPr>
        <w:t xml:space="preserve">los fondos </w:t>
      </w:r>
      <w:r w:rsidRPr="0235F3C0">
        <w:rPr>
          <w:rFonts w:eastAsiaTheme="minorEastAsia"/>
          <w:color w:val="000000" w:themeColor="text1"/>
        </w:rPr>
        <w:t>FAZNI</w:t>
      </w:r>
      <w:r w:rsidRPr="0235F3C0" w:rsidR="6DD94200">
        <w:rPr>
          <w:rFonts w:eastAsiaTheme="minorEastAsia"/>
          <w:color w:val="000000" w:themeColor="text1"/>
        </w:rPr>
        <w:t>, FAER y PRONE</w:t>
      </w:r>
      <w:r w:rsidRPr="3155A70D">
        <w:rPr>
          <w:rFonts w:eastAsiaTheme="minorEastAsia"/>
          <w:color w:val="000000" w:themeColor="text1"/>
        </w:rPr>
        <w:t xml:space="preserve"> y que actualmente debe coordinar, articular, focalizar, asignar y hacer seguimiento a los recursos destinados a la expansión de cobertura energética, mejora de calidad del servicio, normalización de redes, atención de necesidades energéticas en el SIN y en la ZNI, mecanismos de sustitución hacia fuentes más limpias y demás soluciones de energía eléctrica que correspondan a la destinación de la subcuenta respectiva.</w:t>
      </w:r>
    </w:p>
    <w:p w:rsidR="00F45660" w:rsidP="00D97D31" w:rsidRDefault="6354F271" w14:paraId="2F46DA97" w14:textId="41471540">
      <w:pPr>
        <w:jc w:val="both"/>
        <w:rPr>
          <w:rFonts w:eastAsiaTheme="minorEastAsia"/>
          <w:color w:val="000000" w:themeColor="text1"/>
        </w:rPr>
      </w:pPr>
      <w:r w:rsidRPr="3155A70D">
        <w:rPr>
          <w:rFonts w:eastAsiaTheme="minorEastAsia"/>
          <w:color w:val="000000" w:themeColor="text1"/>
        </w:rPr>
        <w:t xml:space="preserve">El traslado </w:t>
      </w:r>
      <w:r w:rsidRPr="4D571758">
        <w:rPr>
          <w:rFonts w:eastAsiaTheme="minorEastAsia"/>
          <w:color w:val="000000" w:themeColor="text1"/>
        </w:rPr>
        <w:t>pr</w:t>
      </w:r>
      <w:r w:rsidRPr="4D571758" w:rsidR="7F67B9D2">
        <w:rPr>
          <w:rFonts w:eastAsiaTheme="minorEastAsia"/>
          <w:color w:val="000000" w:themeColor="text1"/>
        </w:rPr>
        <w:t>esu</w:t>
      </w:r>
      <w:r w:rsidRPr="4D571758">
        <w:rPr>
          <w:rFonts w:eastAsiaTheme="minorEastAsia"/>
          <w:color w:val="000000" w:themeColor="text1"/>
        </w:rPr>
        <w:t>puestal</w:t>
      </w:r>
      <w:r w:rsidRPr="3155A70D">
        <w:rPr>
          <w:rFonts w:eastAsiaTheme="minorEastAsia"/>
          <w:color w:val="000000" w:themeColor="text1"/>
        </w:rPr>
        <w:t xml:space="preserve"> no altera la finalidad pública de los recursos ni desconoce compromisos adquiridos. Por el contrario, permite ordenar la ejecución dentro del FONENERGIA, preservar la destinación sectorial, fortalecer la trazabilidad, reducir riesgos de no ejecución y mejorar la eficiencia administrativa.</w:t>
      </w:r>
    </w:p>
    <w:p w:rsidR="00F45660" w:rsidP="00D97D31" w:rsidRDefault="001A7DDF" w14:paraId="48039D14" w14:textId="7A7C1C7C">
      <w:pPr>
        <w:pStyle w:val="Heading1"/>
        <w:numPr>
          <w:ilvl w:val="0"/>
          <w:numId w:val="19"/>
        </w:numPr>
        <w:spacing w:after="240"/>
        <w:ind w:left="426"/>
      </w:pPr>
      <w:bookmarkStart w:name="_Toc230792123" w:id="18"/>
      <w:r w:rsidRPr="3155A70D">
        <w:t>REFERENCIAS NORMATIVAS</w:t>
      </w:r>
      <w:bookmarkEnd w:id="18"/>
    </w:p>
    <w:p w:rsidR="00F45660" w:rsidP="00D97D31" w:rsidRDefault="6354F271" w14:paraId="613B6F8A" w14:textId="23B94261">
      <w:pPr>
        <w:pStyle w:val="ListBullet"/>
        <w:numPr>
          <w:ilvl w:val="0"/>
          <w:numId w:val="37"/>
        </w:numPr>
        <w:tabs>
          <w:tab w:val="num" w:pos="360"/>
        </w:tabs>
        <w:spacing w:after="240"/>
        <w:jc w:val="both"/>
        <w:rPr>
          <w:rFonts w:eastAsiaTheme="minorEastAsia"/>
          <w:color w:val="000000" w:themeColor="text1"/>
        </w:rPr>
      </w:pPr>
      <w:r w:rsidRPr="3155A70D">
        <w:rPr>
          <w:rFonts w:eastAsiaTheme="minorEastAsia"/>
          <w:color w:val="000000" w:themeColor="text1"/>
        </w:rPr>
        <w:t>Ley 2294 de 2023, artículo 247, por medio del cual se modificó el artículo 41 de la Ley 2099 de 2021 y se sustituyeron FAER, FAZNI, PRONE y FECFGN por FONENERGÍA.</w:t>
      </w:r>
    </w:p>
    <w:p w:rsidR="3E6ADA4A" w:rsidP="00D97D31" w:rsidRDefault="6354F271" w14:paraId="28057B18" w14:textId="3809325B">
      <w:pPr>
        <w:pStyle w:val="ListBullet"/>
        <w:numPr>
          <w:ilvl w:val="0"/>
          <w:numId w:val="37"/>
        </w:numPr>
        <w:tabs>
          <w:tab w:val="num" w:pos="360"/>
        </w:tabs>
        <w:spacing w:after="240"/>
        <w:jc w:val="both"/>
      </w:pPr>
      <w:r w:rsidRPr="00BA14AE">
        <w:rPr>
          <w:rFonts w:eastAsiaTheme="minorEastAsia"/>
          <w:color w:val="000000" w:themeColor="text1"/>
        </w:rPr>
        <w:t>Decreto 375 de 2026, por el cual se reglamenta el Fondo Único de Soluciones Energéticas - FONENERGÍA y se subroga el Título VIII del Decreto 1073 de 2015.</w:t>
      </w:r>
    </w:p>
    <w:p w:rsidRPr="001A7DDF" w:rsidR="00F96E19" w:rsidP="00D97D31" w:rsidRDefault="00FB6202" w14:paraId="21889643" w14:textId="72343E3C">
      <w:pPr>
        <w:pStyle w:val="Heading1"/>
        <w:numPr>
          <w:ilvl w:val="0"/>
          <w:numId w:val="19"/>
        </w:numPr>
        <w:ind w:left="426"/>
      </w:pPr>
      <w:bookmarkStart w:name="_Toc230792124" w:id="19"/>
      <w:r w:rsidRPr="001A7DDF">
        <w:t>ANEXOS</w:t>
      </w:r>
      <w:bookmarkEnd w:id="19"/>
    </w:p>
    <w:p w:rsidR="006D7EAC" w:rsidP="00D97D31" w:rsidRDefault="006D7EAC" w14:paraId="002C57F0" w14:textId="46A905D0">
      <w:pPr>
        <w:spacing w:after="0"/>
        <w:ind w:left="360"/>
        <w:jc w:val="both"/>
        <w:rPr>
          <w:rFonts w:ascii="Calibri" w:hAnsi="Calibri" w:cs="Calibri"/>
          <w:b/>
          <w:bCs/>
        </w:rPr>
      </w:pPr>
    </w:p>
    <w:p w:rsidRPr="00EA1F13" w:rsidR="00DF6535" w:rsidP="00D97D31" w:rsidRDefault="00DF6535" w14:paraId="0F27968C" w14:textId="41E93FEB">
      <w:pPr>
        <w:pStyle w:val="ListParagraph"/>
        <w:numPr>
          <w:ilvl w:val="0"/>
          <w:numId w:val="35"/>
        </w:numPr>
        <w:spacing w:after="0" w:line="276" w:lineRule="auto"/>
        <w:ind w:left="851"/>
        <w:jc w:val="both"/>
        <w:rPr>
          <w:rFonts w:ascii="Calibri" w:hAnsi="Calibri" w:cs="Calibri"/>
        </w:rPr>
      </w:pPr>
      <w:r w:rsidRPr="00EA1F13">
        <w:rPr>
          <w:rFonts w:ascii="Calibri" w:hAnsi="Calibri" w:cs="Calibri"/>
        </w:rPr>
        <w:t xml:space="preserve">Oficio Ministerio de Minas y Energía </w:t>
      </w:r>
    </w:p>
    <w:p w:rsidRPr="00EA1F13" w:rsidR="00DF6535" w:rsidP="00D97D31" w:rsidRDefault="00DF6535" w14:paraId="7CC72BBB" w14:textId="487831FC">
      <w:pPr>
        <w:pStyle w:val="ListParagraph"/>
        <w:numPr>
          <w:ilvl w:val="0"/>
          <w:numId w:val="35"/>
        </w:numPr>
        <w:spacing w:after="0" w:line="276" w:lineRule="auto"/>
        <w:ind w:left="851"/>
        <w:jc w:val="both"/>
        <w:rPr>
          <w:rFonts w:ascii="Calibri" w:hAnsi="Calibri" w:cs="Calibri"/>
        </w:rPr>
      </w:pPr>
      <w:r w:rsidRPr="00EA1F13">
        <w:rPr>
          <w:rFonts w:ascii="Calibri" w:hAnsi="Calibri" w:cs="Calibri"/>
        </w:rPr>
        <w:t xml:space="preserve">Oficio Ministerio de Hacienda y Crédito Público </w:t>
      </w:r>
    </w:p>
    <w:p w:rsidRPr="00EA1F13" w:rsidR="00DF6535" w:rsidP="00D97D31" w:rsidRDefault="00DF6535" w14:paraId="7FE5B1F2" w14:textId="53E1AF7C">
      <w:pPr>
        <w:pStyle w:val="ListParagraph"/>
        <w:numPr>
          <w:ilvl w:val="0"/>
          <w:numId w:val="35"/>
        </w:numPr>
        <w:spacing w:after="0" w:line="276" w:lineRule="auto"/>
        <w:ind w:left="851"/>
        <w:jc w:val="both"/>
        <w:rPr>
          <w:rFonts w:ascii="Calibri" w:hAnsi="Calibri" w:cs="Calibri"/>
        </w:rPr>
      </w:pPr>
      <w:r w:rsidRPr="00EA1F13">
        <w:rPr>
          <w:rFonts w:ascii="Calibri" w:hAnsi="Calibri" w:cs="Calibri"/>
        </w:rPr>
        <w:t xml:space="preserve">Oficio Departamento Nacional de Planeación </w:t>
      </w:r>
    </w:p>
    <w:p w:rsidRPr="00EA1F13" w:rsidR="00E071C8" w:rsidP="00D97D31" w:rsidRDefault="00E071C8" w14:paraId="0CD2B754" w14:textId="1D83602B">
      <w:pPr>
        <w:pStyle w:val="ListParagraph"/>
        <w:numPr>
          <w:ilvl w:val="0"/>
          <w:numId w:val="35"/>
        </w:numPr>
        <w:spacing w:after="0" w:line="276" w:lineRule="auto"/>
        <w:ind w:left="851"/>
        <w:jc w:val="both"/>
        <w:rPr>
          <w:rFonts w:ascii="Calibri" w:hAnsi="Calibri" w:cs="Calibri"/>
        </w:rPr>
      </w:pPr>
      <w:r w:rsidRPr="00EA1F13">
        <w:rPr>
          <w:rFonts w:ascii="Calibri" w:hAnsi="Calibri" w:cs="Calibri"/>
        </w:rPr>
        <w:t xml:space="preserve">Certificado de disponibilidad presupuestal Número </w:t>
      </w:r>
      <w:r w:rsidRPr="00EA1F13" w:rsidR="00DF5DFB">
        <w:rPr>
          <w:rFonts w:ascii="Calibri" w:hAnsi="Calibri" w:cs="Calibri"/>
        </w:rPr>
        <w:t>625</w:t>
      </w:r>
    </w:p>
    <w:p w:rsidR="001A7DDF" w:rsidP="00D97D31" w:rsidRDefault="001A7DDF" w14:paraId="5D50E84F" w14:textId="59398779">
      <w:pPr>
        <w:spacing w:after="0"/>
        <w:ind w:left="360"/>
        <w:jc w:val="both"/>
        <w:rPr>
          <w:rFonts w:ascii="Calibri" w:hAnsi="Calibri" w:cs="Calibri"/>
          <w:b/>
          <w:bCs/>
          <w:noProof/>
        </w:rPr>
      </w:pPr>
    </w:p>
    <w:p w:rsidR="001A7DDF" w:rsidP="00D97D31" w:rsidRDefault="001A7DDF" w14:paraId="6D6962E5" w14:textId="77777777">
      <w:pPr>
        <w:spacing w:after="0"/>
        <w:jc w:val="both"/>
        <w:rPr>
          <w:rFonts w:ascii="Calibri" w:hAnsi="Calibri" w:cs="Calibri"/>
          <w:b/>
          <w:bCs/>
          <w:noProof/>
        </w:rPr>
      </w:pPr>
    </w:p>
    <w:p w:rsidR="00560ED1" w:rsidP="00D97D31" w:rsidRDefault="006C0237" w14:paraId="57D7062B" w14:textId="44B569D0">
      <w:pPr>
        <w:spacing w:after="0"/>
        <w:jc w:val="both"/>
        <w:rPr>
          <w:rFonts w:ascii="Calibri" w:hAnsi="Calibri" w:cs="Calibri"/>
        </w:rPr>
      </w:pPr>
      <w:r w:rsidRPr="006C0237">
        <w:rPr>
          <w:rFonts w:ascii="Calibri" w:hAnsi="Calibri" w:cs="Calibri"/>
        </w:rPr>
        <w:t>Cordialmente</w:t>
      </w:r>
      <w:r>
        <w:rPr>
          <w:rFonts w:ascii="Calibri" w:hAnsi="Calibri" w:cs="Calibri"/>
        </w:rPr>
        <w:t>,</w:t>
      </w:r>
    </w:p>
    <w:p w:rsidR="006C0237" w:rsidP="00D97D31" w:rsidRDefault="006C0237" w14:paraId="3D2DE7AC" w14:textId="77777777">
      <w:pPr>
        <w:spacing w:after="0"/>
        <w:ind w:left="360"/>
        <w:jc w:val="both"/>
        <w:rPr>
          <w:rFonts w:ascii="Calibri" w:hAnsi="Calibri" w:cs="Calibri"/>
        </w:rPr>
      </w:pPr>
    </w:p>
    <w:p w:rsidR="00D31E01" w:rsidP="00D97D31" w:rsidRDefault="00D31E01" w14:paraId="20A38E8C" w14:textId="77777777">
      <w:pPr>
        <w:spacing w:after="0"/>
        <w:ind w:left="360"/>
        <w:jc w:val="both"/>
        <w:rPr>
          <w:rFonts w:ascii="Calibri" w:hAnsi="Calibri" w:cs="Calibri"/>
        </w:rPr>
      </w:pPr>
    </w:p>
    <w:p w:rsidRPr="009A4B7E" w:rsidR="006C0237" w:rsidP="00D97D31" w:rsidRDefault="00397F83" w14:paraId="7AB8B256" w14:textId="0E3F3912">
      <w:pPr>
        <w:spacing w:after="0"/>
        <w:jc w:val="both"/>
        <w:rPr>
          <w:rFonts w:ascii="Calibri" w:hAnsi="Calibri" w:cs="Calibri"/>
          <w:b/>
          <w:bCs/>
        </w:rPr>
      </w:pPr>
      <w:r>
        <w:rPr>
          <w:rFonts w:ascii="Calibri" w:hAnsi="Calibri" w:cs="Calibri"/>
          <w:b/>
          <w:bCs/>
        </w:rPr>
        <w:t>Diego Fernando Román</w:t>
      </w:r>
    </w:p>
    <w:p w:rsidRPr="00E0160D" w:rsidR="00560ED1" w:rsidP="00D97D31" w:rsidRDefault="009A4B7E" w14:paraId="02AC3134" w14:textId="19F05047">
      <w:pPr>
        <w:spacing w:after="0"/>
        <w:jc w:val="both"/>
        <w:rPr>
          <w:rFonts w:ascii="Calibri" w:hAnsi="Calibri" w:cs="Calibri"/>
          <w:b/>
          <w:bCs/>
        </w:rPr>
      </w:pPr>
      <w:r>
        <w:rPr>
          <w:rFonts w:ascii="Calibri" w:hAnsi="Calibri" w:cs="Calibri"/>
        </w:rPr>
        <w:t xml:space="preserve">Director Dirección de </w:t>
      </w:r>
      <w:r w:rsidR="00997274">
        <w:rPr>
          <w:rFonts w:ascii="Calibri" w:hAnsi="Calibri" w:cs="Calibri"/>
        </w:rPr>
        <w:t>Energía</w:t>
      </w:r>
    </w:p>
    <w:sectPr w:rsidRPr="00E0160D" w:rsidR="00560ED1" w:rsidSect="00D31E01">
      <w:headerReference w:type="default" r:id="rId14"/>
      <w:pgSz w:w="12240" w:h="15840" w:orient="portrait"/>
      <w:pgMar w:top="1991" w:right="1418" w:bottom="1276"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D22C82" w:rsidR="00C72E4D" w:rsidRDefault="00C72E4D" w14:paraId="21C9EE16" w14:textId="77777777">
      <w:pPr>
        <w:spacing w:after="0" w:line="240" w:lineRule="auto"/>
      </w:pPr>
      <w:r w:rsidRPr="00D22C82">
        <w:separator/>
      </w:r>
    </w:p>
  </w:endnote>
  <w:endnote w:type="continuationSeparator" w:id="0">
    <w:p w:rsidRPr="00D22C82" w:rsidR="00C72E4D" w:rsidRDefault="00C72E4D" w14:paraId="7F6EBE3A" w14:textId="77777777">
      <w:pPr>
        <w:spacing w:after="0" w:line="240" w:lineRule="auto"/>
      </w:pPr>
      <w:r w:rsidRPr="00D22C82">
        <w:continuationSeparator/>
      </w:r>
    </w:p>
  </w:endnote>
  <w:endnote w:type="continuationNotice" w:id="1">
    <w:p w:rsidR="00C72E4D" w:rsidRDefault="00C72E4D" w14:paraId="3A8F202A"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Nunito">
    <w:charset w:val="00"/>
    <w:family w:val="auto"/>
    <w:pitch w:val="variable"/>
    <w:sig w:usb0="A00002FF" w:usb1="5000204B"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D22C82" w:rsidR="00C72E4D" w:rsidRDefault="00C72E4D" w14:paraId="6D250E83" w14:textId="77777777">
      <w:pPr>
        <w:spacing w:after="0" w:line="240" w:lineRule="auto"/>
      </w:pPr>
      <w:r w:rsidRPr="00D22C82">
        <w:separator/>
      </w:r>
    </w:p>
  </w:footnote>
  <w:footnote w:type="continuationSeparator" w:id="0">
    <w:p w:rsidRPr="00D22C82" w:rsidR="00C72E4D" w:rsidRDefault="00C72E4D" w14:paraId="49B38299" w14:textId="77777777">
      <w:pPr>
        <w:spacing w:after="0" w:line="240" w:lineRule="auto"/>
      </w:pPr>
      <w:r w:rsidRPr="00D22C82">
        <w:continuationSeparator/>
      </w:r>
    </w:p>
  </w:footnote>
  <w:footnote w:type="continuationNotice" w:id="1">
    <w:p w:rsidR="00C72E4D" w:rsidRDefault="00C72E4D" w14:paraId="2B156C73"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9B06A2" w:rsidRDefault="00C53C8E" w14:paraId="3AF04CD0" w14:textId="69E72E8B">
    <w:pPr>
      <w:pStyle w:val="Header"/>
    </w:pPr>
    <w:r w:rsidRPr="00B82AE7">
      <w:rPr>
        <w:rFonts w:ascii="Arial" w:hAnsi="Arial" w:cs="Arial"/>
        <w:b/>
        <w:noProof/>
        <w:sz w:val="24"/>
      </w:rPr>
      <w:drawing>
        <wp:inline distT="0" distB="0" distL="0" distR="0" wp14:anchorId="4E2A7F2F" wp14:editId="4F5E176C">
          <wp:extent cx="752475" cy="742950"/>
          <wp:effectExtent l="0" t="0" r="0" b="0"/>
          <wp:docPr id="2090645905" name="Imagen 1798113309"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798113309" descr="Imagen que contiene Logotip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742950"/>
                  </a:xfrm>
                  <a:prstGeom prst="rect">
                    <a:avLst/>
                  </a:prstGeom>
                  <a:noFill/>
                  <a:ln>
                    <a:noFill/>
                  </a:ln>
                </pic:spPr>
              </pic:pic>
            </a:graphicData>
          </a:graphic>
        </wp:inline>
      </w:drawing>
    </w:r>
  </w:p>
  <w:p w:rsidR="009B06A2" w:rsidRDefault="009B06A2" w14:paraId="7170F8A3" w14:textId="77777777">
    <w:pPr>
      <w:pStyle w:val="Header"/>
    </w:pPr>
  </w:p>
</w:hdr>
</file>

<file path=word/intelligence2.xml><?xml version="1.0" encoding="utf-8"?>
<int2:intelligence xmlns:int2="http://schemas.microsoft.com/office/intelligence/2020/intelligence" xmlns:oel="http://schemas.microsoft.com/office/2019/extlst">
  <int2:observations>
    <int2:textHash int2:hashCode="4QjN9qTdESZj5d" int2:id="eUKp7ktq">
      <int2:state int2:value="Rejected" int2:type="spell"/>
    </int2:textHash>
    <int2:textHash int2:hashCode="fCLnDmfP30LG75" int2:id="lk87pbhk">
      <int2:state int2:value="Rejected" int2:type="spell"/>
    </int2:textHash>
    <int2:textHash int2:hashCode="U4XiMc7B8C4D//" int2:id="t2HFYmyK">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17E0E"/>
    <w:multiLevelType w:val="hybridMultilevel"/>
    <w:tmpl w:val="6AB045D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 w15:restartNumberingAfterBreak="0">
    <w:nsid w:val="033B0FED"/>
    <w:multiLevelType w:val="hybridMultilevel"/>
    <w:tmpl w:val="30245FF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36C7C8F"/>
    <w:multiLevelType w:val="hybridMultilevel"/>
    <w:tmpl w:val="3C80516E"/>
    <w:lvl w:ilvl="0" w:tplc="543CF410">
      <w:start w:val="1"/>
      <w:numFmt w:val="decimal"/>
      <w:lvlText w:val="%1."/>
      <w:lvlJc w:val="left"/>
      <w:pPr>
        <w:ind w:left="643" w:hanging="360"/>
      </w:pPr>
      <w:rPr>
        <w:b/>
        <w:color w:val="7F7F7F" w:themeColor="text1" w:themeTint="80"/>
        <w:sz w:val="22"/>
        <w:szCs w:val="22"/>
      </w:rPr>
    </w:lvl>
    <w:lvl w:ilvl="1" w:tplc="B888A8CA">
      <w:start w:val="1"/>
      <w:numFmt w:val="lowerLetter"/>
      <w:lvlText w:val="%2)"/>
      <w:lvlJc w:val="left"/>
      <w:pPr>
        <w:ind w:left="1363" w:hanging="360"/>
      </w:pPr>
      <w:rPr>
        <w:rFonts w:hint="default"/>
      </w:rPr>
    </w:lvl>
    <w:lvl w:ilvl="2" w:tplc="991E7A68">
      <w:numFmt w:val="bullet"/>
      <w:lvlText w:val="•"/>
      <w:lvlJc w:val="left"/>
      <w:pPr>
        <w:ind w:left="2623" w:hanging="720"/>
      </w:pPr>
      <w:rPr>
        <w:rFonts w:hint="default" w:ascii="Calibri" w:hAnsi="Calibri" w:eastAsia="Times New Roman" w:cs="Calibri"/>
      </w:rPr>
    </w:lvl>
    <w:lvl w:ilvl="3" w:tplc="485A0D72">
      <w:numFmt w:val="bullet"/>
      <w:lvlText w:val="-"/>
      <w:lvlJc w:val="left"/>
      <w:pPr>
        <w:ind w:left="3163" w:hanging="720"/>
      </w:pPr>
      <w:rPr>
        <w:rFonts w:hint="default" w:ascii="Calibri" w:hAnsi="Calibri" w:eastAsia="Times New Roman" w:cs="Calibri"/>
      </w:rPr>
    </w:lvl>
    <w:lvl w:ilvl="4" w:tplc="240A0019" w:tentative="1">
      <w:start w:val="1"/>
      <w:numFmt w:val="lowerLetter"/>
      <w:lvlText w:val="%5."/>
      <w:lvlJc w:val="left"/>
      <w:pPr>
        <w:ind w:left="3523" w:hanging="360"/>
      </w:pPr>
    </w:lvl>
    <w:lvl w:ilvl="5" w:tplc="240A001B" w:tentative="1">
      <w:start w:val="1"/>
      <w:numFmt w:val="lowerRoman"/>
      <w:lvlText w:val="%6."/>
      <w:lvlJc w:val="right"/>
      <w:pPr>
        <w:ind w:left="4243" w:hanging="180"/>
      </w:pPr>
    </w:lvl>
    <w:lvl w:ilvl="6" w:tplc="240A000F" w:tentative="1">
      <w:start w:val="1"/>
      <w:numFmt w:val="decimal"/>
      <w:lvlText w:val="%7."/>
      <w:lvlJc w:val="left"/>
      <w:pPr>
        <w:ind w:left="4963" w:hanging="360"/>
      </w:pPr>
    </w:lvl>
    <w:lvl w:ilvl="7" w:tplc="240A0019" w:tentative="1">
      <w:start w:val="1"/>
      <w:numFmt w:val="lowerLetter"/>
      <w:lvlText w:val="%8."/>
      <w:lvlJc w:val="left"/>
      <w:pPr>
        <w:ind w:left="5683" w:hanging="360"/>
      </w:pPr>
    </w:lvl>
    <w:lvl w:ilvl="8" w:tplc="240A001B" w:tentative="1">
      <w:start w:val="1"/>
      <w:numFmt w:val="lowerRoman"/>
      <w:lvlText w:val="%9."/>
      <w:lvlJc w:val="right"/>
      <w:pPr>
        <w:ind w:left="6403" w:hanging="180"/>
      </w:pPr>
    </w:lvl>
  </w:abstractNum>
  <w:abstractNum w:abstractNumId="3" w15:restartNumberingAfterBreak="0">
    <w:nsid w:val="0580FDD6"/>
    <w:multiLevelType w:val="hybridMultilevel"/>
    <w:tmpl w:val="2A08028C"/>
    <w:lvl w:ilvl="0" w:tplc="0F50B118">
      <w:start w:val="1"/>
      <w:numFmt w:val="bullet"/>
      <w:lvlText w:val=""/>
      <w:lvlJc w:val="left"/>
      <w:pPr>
        <w:ind w:left="720" w:hanging="360"/>
      </w:pPr>
      <w:rPr>
        <w:rFonts w:hint="default" w:ascii="Symbol" w:hAnsi="Symbol"/>
      </w:rPr>
    </w:lvl>
    <w:lvl w:ilvl="1" w:tplc="938CF1DE">
      <w:start w:val="1"/>
      <w:numFmt w:val="bullet"/>
      <w:lvlText w:val="o"/>
      <w:lvlJc w:val="left"/>
      <w:pPr>
        <w:ind w:left="1440" w:hanging="360"/>
      </w:pPr>
      <w:rPr>
        <w:rFonts w:hint="default" w:ascii="Courier New" w:hAnsi="Courier New"/>
      </w:rPr>
    </w:lvl>
    <w:lvl w:ilvl="2" w:tplc="565C9AC2">
      <w:start w:val="1"/>
      <w:numFmt w:val="bullet"/>
      <w:lvlText w:val=""/>
      <w:lvlJc w:val="left"/>
      <w:pPr>
        <w:ind w:left="2160" w:hanging="360"/>
      </w:pPr>
      <w:rPr>
        <w:rFonts w:hint="default" w:ascii="Wingdings" w:hAnsi="Wingdings"/>
      </w:rPr>
    </w:lvl>
    <w:lvl w:ilvl="3" w:tplc="7804B0A2">
      <w:start w:val="1"/>
      <w:numFmt w:val="bullet"/>
      <w:lvlText w:val=""/>
      <w:lvlJc w:val="left"/>
      <w:pPr>
        <w:ind w:left="2880" w:hanging="360"/>
      </w:pPr>
      <w:rPr>
        <w:rFonts w:hint="default" w:ascii="Symbol" w:hAnsi="Symbol"/>
      </w:rPr>
    </w:lvl>
    <w:lvl w:ilvl="4" w:tplc="C29EBB84">
      <w:start w:val="1"/>
      <w:numFmt w:val="bullet"/>
      <w:lvlText w:val="o"/>
      <w:lvlJc w:val="left"/>
      <w:pPr>
        <w:ind w:left="3600" w:hanging="360"/>
      </w:pPr>
      <w:rPr>
        <w:rFonts w:hint="default" w:ascii="Courier New" w:hAnsi="Courier New"/>
      </w:rPr>
    </w:lvl>
    <w:lvl w:ilvl="5" w:tplc="403C8FD2">
      <w:start w:val="1"/>
      <w:numFmt w:val="bullet"/>
      <w:lvlText w:val=""/>
      <w:lvlJc w:val="left"/>
      <w:pPr>
        <w:ind w:left="4320" w:hanging="360"/>
      </w:pPr>
      <w:rPr>
        <w:rFonts w:hint="default" w:ascii="Wingdings" w:hAnsi="Wingdings"/>
      </w:rPr>
    </w:lvl>
    <w:lvl w:ilvl="6" w:tplc="FC7CE58E">
      <w:start w:val="1"/>
      <w:numFmt w:val="bullet"/>
      <w:lvlText w:val=""/>
      <w:lvlJc w:val="left"/>
      <w:pPr>
        <w:ind w:left="5040" w:hanging="360"/>
      </w:pPr>
      <w:rPr>
        <w:rFonts w:hint="default" w:ascii="Symbol" w:hAnsi="Symbol"/>
      </w:rPr>
    </w:lvl>
    <w:lvl w:ilvl="7" w:tplc="F5F2E014">
      <w:start w:val="1"/>
      <w:numFmt w:val="bullet"/>
      <w:lvlText w:val="o"/>
      <w:lvlJc w:val="left"/>
      <w:pPr>
        <w:ind w:left="5760" w:hanging="360"/>
      </w:pPr>
      <w:rPr>
        <w:rFonts w:hint="default" w:ascii="Courier New" w:hAnsi="Courier New"/>
      </w:rPr>
    </w:lvl>
    <w:lvl w:ilvl="8" w:tplc="1E68EFA0">
      <w:start w:val="1"/>
      <w:numFmt w:val="bullet"/>
      <w:lvlText w:val=""/>
      <w:lvlJc w:val="left"/>
      <w:pPr>
        <w:ind w:left="6480" w:hanging="360"/>
      </w:pPr>
      <w:rPr>
        <w:rFonts w:hint="default" w:ascii="Wingdings" w:hAnsi="Wingdings"/>
      </w:rPr>
    </w:lvl>
  </w:abstractNum>
  <w:abstractNum w:abstractNumId="4" w15:restartNumberingAfterBreak="0">
    <w:nsid w:val="06A64C20"/>
    <w:multiLevelType w:val="hybridMultilevel"/>
    <w:tmpl w:val="9AC645B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D0E0F12"/>
    <w:multiLevelType w:val="hybridMultilevel"/>
    <w:tmpl w:val="C20E4A3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 w15:restartNumberingAfterBreak="0">
    <w:nsid w:val="0EC95D44"/>
    <w:multiLevelType w:val="hybridMultilevel"/>
    <w:tmpl w:val="A21ECBC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7" w15:restartNumberingAfterBreak="0">
    <w:nsid w:val="118E1EA1"/>
    <w:multiLevelType w:val="hybridMultilevel"/>
    <w:tmpl w:val="6C8488B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8" w15:restartNumberingAfterBreak="0">
    <w:nsid w:val="144713C9"/>
    <w:multiLevelType w:val="multilevel"/>
    <w:tmpl w:val="4FC47B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4857491"/>
    <w:multiLevelType w:val="hybridMultilevel"/>
    <w:tmpl w:val="415AA5E6"/>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0" w15:restartNumberingAfterBreak="0">
    <w:nsid w:val="163D4B8A"/>
    <w:multiLevelType w:val="hybridMultilevel"/>
    <w:tmpl w:val="32B26138"/>
    <w:lvl w:ilvl="0" w:tplc="FDFE8E36">
      <w:start w:val="1"/>
      <w:numFmt w:val="decimal"/>
      <w:lvlText w:val="%1."/>
      <w:lvlJc w:val="left"/>
      <w:pPr>
        <w:ind w:left="360" w:hanging="360"/>
      </w:pPr>
      <w:rPr>
        <w:rFonts w:hint="default" w:ascii="Calibri" w:hAnsi="Calibri" w:eastAsia="Calibri" w:cs="Calibri"/>
        <w:b/>
        <w:bCs/>
        <w:w w:val="100"/>
        <w:sz w:val="22"/>
        <w:szCs w:val="22"/>
        <w:lang w:val="es-ES" w:eastAsia="en-US" w:bidi="ar-SA"/>
      </w:rPr>
    </w:lvl>
    <w:lvl w:ilvl="1" w:tplc="B3181F1C">
      <w:start w:val="1"/>
      <w:numFmt w:val="upperRoman"/>
      <w:lvlText w:val="%2."/>
      <w:lvlJc w:val="left"/>
      <w:pPr>
        <w:ind w:left="720" w:hanging="480"/>
        <w:jc w:val="right"/>
      </w:pPr>
      <w:rPr>
        <w:rFonts w:hint="default" w:ascii="Calibri" w:hAnsi="Calibri" w:eastAsia="Calibri" w:cs="Calibri"/>
        <w:b/>
        <w:bCs/>
        <w:spacing w:val="-1"/>
        <w:w w:val="100"/>
        <w:sz w:val="24"/>
        <w:szCs w:val="24"/>
        <w:lang w:val="es-ES" w:eastAsia="en-US" w:bidi="ar-SA"/>
      </w:rPr>
    </w:lvl>
    <w:lvl w:ilvl="2" w:tplc="5AA6E3C4">
      <w:numFmt w:val="bullet"/>
      <w:lvlText w:val=""/>
      <w:lvlJc w:val="left"/>
      <w:pPr>
        <w:ind w:left="720" w:hanging="360"/>
      </w:pPr>
      <w:rPr>
        <w:rFonts w:hint="default" w:ascii="Symbol" w:hAnsi="Symbol" w:eastAsia="Symbol" w:cs="Symbol"/>
        <w:w w:val="100"/>
        <w:sz w:val="24"/>
        <w:szCs w:val="24"/>
        <w:lang w:val="es-ES" w:eastAsia="en-US" w:bidi="ar-SA"/>
      </w:rPr>
    </w:lvl>
    <w:lvl w:ilvl="3" w:tplc="5EB264BA">
      <w:numFmt w:val="bullet"/>
      <w:lvlText w:val="•"/>
      <w:lvlJc w:val="left"/>
      <w:pPr>
        <w:ind w:left="1828" w:hanging="360"/>
      </w:pPr>
      <w:rPr>
        <w:rFonts w:hint="default"/>
        <w:lang w:val="es-ES" w:eastAsia="en-US" w:bidi="ar-SA"/>
      </w:rPr>
    </w:lvl>
    <w:lvl w:ilvl="4" w:tplc="C58E76A2">
      <w:numFmt w:val="bullet"/>
      <w:lvlText w:val="•"/>
      <w:lvlJc w:val="left"/>
      <w:pPr>
        <w:ind w:left="2931" w:hanging="360"/>
      </w:pPr>
      <w:rPr>
        <w:rFonts w:hint="default"/>
        <w:lang w:val="es-ES" w:eastAsia="en-US" w:bidi="ar-SA"/>
      </w:rPr>
    </w:lvl>
    <w:lvl w:ilvl="5" w:tplc="A5424A42">
      <w:numFmt w:val="bullet"/>
      <w:lvlText w:val="•"/>
      <w:lvlJc w:val="left"/>
      <w:pPr>
        <w:ind w:left="4033" w:hanging="360"/>
      </w:pPr>
      <w:rPr>
        <w:rFonts w:hint="default"/>
        <w:lang w:val="es-ES" w:eastAsia="en-US" w:bidi="ar-SA"/>
      </w:rPr>
    </w:lvl>
    <w:lvl w:ilvl="6" w:tplc="52642666">
      <w:numFmt w:val="bullet"/>
      <w:lvlText w:val="•"/>
      <w:lvlJc w:val="left"/>
      <w:pPr>
        <w:ind w:left="5136" w:hanging="360"/>
      </w:pPr>
      <w:rPr>
        <w:rFonts w:hint="default"/>
        <w:lang w:val="es-ES" w:eastAsia="en-US" w:bidi="ar-SA"/>
      </w:rPr>
    </w:lvl>
    <w:lvl w:ilvl="7" w:tplc="735269FC">
      <w:numFmt w:val="bullet"/>
      <w:lvlText w:val="•"/>
      <w:lvlJc w:val="left"/>
      <w:pPr>
        <w:ind w:left="6238" w:hanging="360"/>
      </w:pPr>
      <w:rPr>
        <w:rFonts w:hint="default"/>
        <w:lang w:val="es-ES" w:eastAsia="en-US" w:bidi="ar-SA"/>
      </w:rPr>
    </w:lvl>
    <w:lvl w:ilvl="8" w:tplc="55366586">
      <w:numFmt w:val="bullet"/>
      <w:lvlText w:val="•"/>
      <w:lvlJc w:val="left"/>
      <w:pPr>
        <w:ind w:left="7341" w:hanging="360"/>
      </w:pPr>
      <w:rPr>
        <w:rFonts w:hint="default"/>
        <w:lang w:val="es-ES" w:eastAsia="en-US" w:bidi="ar-SA"/>
      </w:rPr>
    </w:lvl>
  </w:abstractNum>
  <w:abstractNum w:abstractNumId="11" w15:restartNumberingAfterBreak="0">
    <w:nsid w:val="1DE50E96"/>
    <w:multiLevelType w:val="hybridMultilevel"/>
    <w:tmpl w:val="C56AF83C"/>
    <w:lvl w:ilvl="0" w:tplc="C3949214">
      <w:start w:val="7"/>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18E7977"/>
    <w:multiLevelType w:val="multilevel"/>
    <w:tmpl w:val="377AB37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233B48C6"/>
    <w:multiLevelType w:val="hybridMultilevel"/>
    <w:tmpl w:val="540E01E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4" w15:restartNumberingAfterBreak="0">
    <w:nsid w:val="24BA29EB"/>
    <w:multiLevelType w:val="hybridMultilevel"/>
    <w:tmpl w:val="DB00216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4DA0601"/>
    <w:multiLevelType w:val="hybridMultilevel"/>
    <w:tmpl w:val="8F3EE540"/>
    <w:lvl w:ilvl="0" w:tplc="93FE1380">
      <w:start w:val="1"/>
      <w:numFmt w:val="bullet"/>
      <w:lvlText w:val="•"/>
      <w:lvlJc w:val="left"/>
      <w:pPr>
        <w:ind w:left="720" w:hanging="360"/>
      </w:pPr>
      <w:rPr>
        <w:rFonts w:hint="default" w:ascii="Calibri" w:hAnsi="Calibri" w:cs="Calibri" w:eastAsiaTheme="minorHAns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6" w15:restartNumberingAfterBreak="0">
    <w:nsid w:val="2E7A36F7"/>
    <w:multiLevelType w:val="hybridMultilevel"/>
    <w:tmpl w:val="E6E2076A"/>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321B0487"/>
    <w:multiLevelType w:val="hybridMultilevel"/>
    <w:tmpl w:val="AAA294B4"/>
    <w:lvl w:ilvl="0" w:tplc="240A0001">
      <w:start w:val="1"/>
      <w:numFmt w:val="bullet"/>
      <w:lvlText w:val=""/>
      <w:lvlJc w:val="left"/>
      <w:pPr>
        <w:ind w:left="864" w:hanging="360"/>
      </w:pPr>
      <w:rPr>
        <w:rFonts w:hint="default" w:ascii="Symbol" w:hAnsi="Symbol"/>
      </w:rPr>
    </w:lvl>
    <w:lvl w:ilvl="1" w:tplc="240A0003" w:tentative="1">
      <w:start w:val="1"/>
      <w:numFmt w:val="bullet"/>
      <w:lvlText w:val="o"/>
      <w:lvlJc w:val="left"/>
      <w:pPr>
        <w:ind w:left="1584" w:hanging="360"/>
      </w:pPr>
      <w:rPr>
        <w:rFonts w:hint="default" w:ascii="Courier New" w:hAnsi="Courier New" w:cs="Courier New"/>
      </w:rPr>
    </w:lvl>
    <w:lvl w:ilvl="2" w:tplc="240A0005" w:tentative="1">
      <w:start w:val="1"/>
      <w:numFmt w:val="bullet"/>
      <w:lvlText w:val=""/>
      <w:lvlJc w:val="left"/>
      <w:pPr>
        <w:ind w:left="2304" w:hanging="360"/>
      </w:pPr>
      <w:rPr>
        <w:rFonts w:hint="default" w:ascii="Wingdings" w:hAnsi="Wingdings"/>
      </w:rPr>
    </w:lvl>
    <w:lvl w:ilvl="3" w:tplc="240A0001" w:tentative="1">
      <w:start w:val="1"/>
      <w:numFmt w:val="bullet"/>
      <w:lvlText w:val=""/>
      <w:lvlJc w:val="left"/>
      <w:pPr>
        <w:ind w:left="3024" w:hanging="360"/>
      </w:pPr>
      <w:rPr>
        <w:rFonts w:hint="default" w:ascii="Symbol" w:hAnsi="Symbol"/>
      </w:rPr>
    </w:lvl>
    <w:lvl w:ilvl="4" w:tplc="240A0003" w:tentative="1">
      <w:start w:val="1"/>
      <w:numFmt w:val="bullet"/>
      <w:lvlText w:val="o"/>
      <w:lvlJc w:val="left"/>
      <w:pPr>
        <w:ind w:left="3744" w:hanging="360"/>
      </w:pPr>
      <w:rPr>
        <w:rFonts w:hint="default" w:ascii="Courier New" w:hAnsi="Courier New" w:cs="Courier New"/>
      </w:rPr>
    </w:lvl>
    <w:lvl w:ilvl="5" w:tplc="240A0005" w:tentative="1">
      <w:start w:val="1"/>
      <w:numFmt w:val="bullet"/>
      <w:lvlText w:val=""/>
      <w:lvlJc w:val="left"/>
      <w:pPr>
        <w:ind w:left="4464" w:hanging="360"/>
      </w:pPr>
      <w:rPr>
        <w:rFonts w:hint="default" w:ascii="Wingdings" w:hAnsi="Wingdings"/>
      </w:rPr>
    </w:lvl>
    <w:lvl w:ilvl="6" w:tplc="240A0001" w:tentative="1">
      <w:start w:val="1"/>
      <w:numFmt w:val="bullet"/>
      <w:lvlText w:val=""/>
      <w:lvlJc w:val="left"/>
      <w:pPr>
        <w:ind w:left="5184" w:hanging="360"/>
      </w:pPr>
      <w:rPr>
        <w:rFonts w:hint="default" w:ascii="Symbol" w:hAnsi="Symbol"/>
      </w:rPr>
    </w:lvl>
    <w:lvl w:ilvl="7" w:tplc="240A0003" w:tentative="1">
      <w:start w:val="1"/>
      <w:numFmt w:val="bullet"/>
      <w:lvlText w:val="o"/>
      <w:lvlJc w:val="left"/>
      <w:pPr>
        <w:ind w:left="5904" w:hanging="360"/>
      </w:pPr>
      <w:rPr>
        <w:rFonts w:hint="default" w:ascii="Courier New" w:hAnsi="Courier New" w:cs="Courier New"/>
      </w:rPr>
    </w:lvl>
    <w:lvl w:ilvl="8" w:tplc="240A0005" w:tentative="1">
      <w:start w:val="1"/>
      <w:numFmt w:val="bullet"/>
      <w:lvlText w:val=""/>
      <w:lvlJc w:val="left"/>
      <w:pPr>
        <w:ind w:left="6624" w:hanging="360"/>
      </w:pPr>
      <w:rPr>
        <w:rFonts w:hint="default" w:ascii="Wingdings" w:hAnsi="Wingdings"/>
      </w:rPr>
    </w:lvl>
  </w:abstractNum>
  <w:abstractNum w:abstractNumId="18" w15:restartNumberingAfterBreak="0">
    <w:nsid w:val="37AF0581"/>
    <w:multiLevelType w:val="hybridMultilevel"/>
    <w:tmpl w:val="C6B2335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9" w15:restartNumberingAfterBreak="0">
    <w:nsid w:val="3A9760A2"/>
    <w:multiLevelType w:val="hybridMultilevel"/>
    <w:tmpl w:val="8B4E949C"/>
    <w:lvl w:ilvl="0" w:tplc="A1C6D900">
      <w:start w:val="2"/>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AEA682A"/>
    <w:multiLevelType w:val="hybridMultilevel"/>
    <w:tmpl w:val="73E20AD6"/>
    <w:lvl w:ilvl="0" w:tplc="93FE1380">
      <w:start w:val="1"/>
      <w:numFmt w:val="bullet"/>
      <w:lvlText w:val="•"/>
      <w:lvlJc w:val="left"/>
      <w:pPr>
        <w:ind w:left="720" w:hanging="360"/>
      </w:pPr>
      <w:rPr>
        <w:rFonts w:hint="default" w:ascii="Calibri" w:hAnsi="Calibri" w:cs="Calibri" w:eastAsiaTheme="minorHAns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1" w15:restartNumberingAfterBreak="0">
    <w:nsid w:val="48E53C76"/>
    <w:multiLevelType w:val="hybridMultilevel"/>
    <w:tmpl w:val="5990617E"/>
    <w:lvl w:ilvl="0" w:tplc="240A0001">
      <w:start w:val="1"/>
      <w:numFmt w:val="bullet"/>
      <w:lvlText w:val=""/>
      <w:lvlJc w:val="left"/>
      <w:pPr>
        <w:ind w:left="1080" w:hanging="360"/>
      </w:pPr>
      <w:rPr>
        <w:rFonts w:hint="default" w:ascii="Symbol" w:hAnsi="Symbol"/>
      </w:rPr>
    </w:lvl>
    <w:lvl w:ilvl="1" w:tplc="240A0003" w:tentative="1">
      <w:start w:val="1"/>
      <w:numFmt w:val="bullet"/>
      <w:lvlText w:val="o"/>
      <w:lvlJc w:val="left"/>
      <w:pPr>
        <w:ind w:left="1800" w:hanging="360"/>
      </w:pPr>
      <w:rPr>
        <w:rFonts w:hint="default" w:ascii="Courier New" w:hAnsi="Courier New" w:cs="Courier New"/>
      </w:rPr>
    </w:lvl>
    <w:lvl w:ilvl="2" w:tplc="240A0005" w:tentative="1">
      <w:start w:val="1"/>
      <w:numFmt w:val="bullet"/>
      <w:lvlText w:val=""/>
      <w:lvlJc w:val="left"/>
      <w:pPr>
        <w:ind w:left="2520" w:hanging="360"/>
      </w:pPr>
      <w:rPr>
        <w:rFonts w:hint="default" w:ascii="Wingdings" w:hAnsi="Wingdings"/>
      </w:rPr>
    </w:lvl>
    <w:lvl w:ilvl="3" w:tplc="240A0001" w:tentative="1">
      <w:start w:val="1"/>
      <w:numFmt w:val="bullet"/>
      <w:lvlText w:val=""/>
      <w:lvlJc w:val="left"/>
      <w:pPr>
        <w:ind w:left="3240" w:hanging="360"/>
      </w:pPr>
      <w:rPr>
        <w:rFonts w:hint="default" w:ascii="Symbol" w:hAnsi="Symbol"/>
      </w:rPr>
    </w:lvl>
    <w:lvl w:ilvl="4" w:tplc="240A0003" w:tentative="1">
      <w:start w:val="1"/>
      <w:numFmt w:val="bullet"/>
      <w:lvlText w:val="o"/>
      <w:lvlJc w:val="left"/>
      <w:pPr>
        <w:ind w:left="3960" w:hanging="360"/>
      </w:pPr>
      <w:rPr>
        <w:rFonts w:hint="default" w:ascii="Courier New" w:hAnsi="Courier New" w:cs="Courier New"/>
      </w:rPr>
    </w:lvl>
    <w:lvl w:ilvl="5" w:tplc="240A0005" w:tentative="1">
      <w:start w:val="1"/>
      <w:numFmt w:val="bullet"/>
      <w:lvlText w:val=""/>
      <w:lvlJc w:val="left"/>
      <w:pPr>
        <w:ind w:left="4680" w:hanging="360"/>
      </w:pPr>
      <w:rPr>
        <w:rFonts w:hint="default" w:ascii="Wingdings" w:hAnsi="Wingdings"/>
      </w:rPr>
    </w:lvl>
    <w:lvl w:ilvl="6" w:tplc="240A0001" w:tentative="1">
      <w:start w:val="1"/>
      <w:numFmt w:val="bullet"/>
      <w:lvlText w:val=""/>
      <w:lvlJc w:val="left"/>
      <w:pPr>
        <w:ind w:left="5400" w:hanging="360"/>
      </w:pPr>
      <w:rPr>
        <w:rFonts w:hint="default" w:ascii="Symbol" w:hAnsi="Symbol"/>
      </w:rPr>
    </w:lvl>
    <w:lvl w:ilvl="7" w:tplc="240A0003" w:tentative="1">
      <w:start w:val="1"/>
      <w:numFmt w:val="bullet"/>
      <w:lvlText w:val="o"/>
      <w:lvlJc w:val="left"/>
      <w:pPr>
        <w:ind w:left="6120" w:hanging="360"/>
      </w:pPr>
      <w:rPr>
        <w:rFonts w:hint="default" w:ascii="Courier New" w:hAnsi="Courier New" w:cs="Courier New"/>
      </w:rPr>
    </w:lvl>
    <w:lvl w:ilvl="8" w:tplc="240A0005" w:tentative="1">
      <w:start w:val="1"/>
      <w:numFmt w:val="bullet"/>
      <w:lvlText w:val=""/>
      <w:lvlJc w:val="left"/>
      <w:pPr>
        <w:ind w:left="6840" w:hanging="360"/>
      </w:pPr>
      <w:rPr>
        <w:rFonts w:hint="default" w:ascii="Wingdings" w:hAnsi="Wingdings"/>
      </w:rPr>
    </w:lvl>
  </w:abstractNum>
  <w:abstractNum w:abstractNumId="22" w15:restartNumberingAfterBreak="0">
    <w:nsid w:val="508713A2"/>
    <w:multiLevelType w:val="hybridMultilevel"/>
    <w:tmpl w:val="328A1E48"/>
    <w:lvl w:ilvl="0" w:tplc="49BAB4A2">
      <w:start w:val="7"/>
      <w:numFmt w:val="decimal"/>
      <w:lvlText w:val="%1.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50EF2215"/>
    <w:multiLevelType w:val="hybridMultilevel"/>
    <w:tmpl w:val="67D8267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15916CF"/>
    <w:multiLevelType w:val="multilevel"/>
    <w:tmpl w:val="6D9A09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5" w15:restartNumberingAfterBreak="0">
    <w:nsid w:val="51A2078D"/>
    <w:multiLevelType w:val="multilevel"/>
    <w:tmpl w:val="CC6CD048"/>
    <w:lvl w:ilvl="0">
      <w:start w:val="1"/>
      <w:numFmt w:val="decimal"/>
      <w:lvlText w:val="%1."/>
      <w:lvlJc w:val="left"/>
      <w:pPr>
        <w:ind w:left="720" w:hanging="360"/>
      </w:pPr>
      <w:rPr>
        <w:rFonts w:hint="default"/>
      </w:rPr>
    </w:lvl>
    <w:lvl w:ilvl="1">
      <w:start w:val="1"/>
      <w:numFmt w:val="decimal"/>
      <w:lvlText w:val="%1.%2"/>
      <w:lvlJc w:val="left"/>
      <w:pPr>
        <w:ind w:left="720" w:hanging="360"/>
      </w:pPr>
      <w:rPr>
        <w:b/>
        <w:bCs/>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6" w15:restartNumberingAfterBreak="0">
    <w:nsid w:val="52555428"/>
    <w:multiLevelType w:val="multilevel"/>
    <w:tmpl w:val="A016FB1E"/>
    <w:lvl w:ilvl="0">
      <w:start w:val="1"/>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7" w15:restartNumberingAfterBreak="0">
    <w:nsid w:val="5E634AD2"/>
    <w:multiLevelType w:val="hybridMultilevel"/>
    <w:tmpl w:val="439ACE1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8" w15:restartNumberingAfterBreak="0">
    <w:nsid w:val="60E32A8A"/>
    <w:multiLevelType w:val="hybridMultilevel"/>
    <w:tmpl w:val="C0DA062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1EC3035"/>
    <w:multiLevelType w:val="hybridMultilevel"/>
    <w:tmpl w:val="FFFFFFFF"/>
    <w:lvl w:ilvl="0" w:tplc="C75238C2">
      <w:start w:val="1"/>
      <w:numFmt w:val="bullet"/>
      <w:lvlText w:val=""/>
      <w:lvlJc w:val="left"/>
      <w:pPr>
        <w:ind w:left="360" w:hanging="360"/>
      </w:pPr>
      <w:rPr>
        <w:rFonts w:hint="default" w:ascii="Symbol" w:hAnsi="Symbol"/>
      </w:rPr>
    </w:lvl>
    <w:lvl w:ilvl="1" w:tplc="F98ADAD6">
      <w:start w:val="1"/>
      <w:numFmt w:val="bullet"/>
      <w:lvlText w:val="o"/>
      <w:lvlJc w:val="left"/>
      <w:pPr>
        <w:ind w:left="1440" w:hanging="360"/>
      </w:pPr>
      <w:rPr>
        <w:rFonts w:hint="default" w:ascii="Courier New" w:hAnsi="Courier New"/>
      </w:rPr>
    </w:lvl>
    <w:lvl w:ilvl="2" w:tplc="D31C879E">
      <w:start w:val="1"/>
      <w:numFmt w:val="bullet"/>
      <w:lvlText w:val=""/>
      <w:lvlJc w:val="left"/>
      <w:pPr>
        <w:ind w:left="2160" w:hanging="360"/>
      </w:pPr>
      <w:rPr>
        <w:rFonts w:hint="default" w:ascii="Wingdings" w:hAnsi="Wingdings"/>
      </w:rPr>
    </w:lvl>
    <w:lvl w:ilvl="3" w:tplc="22EE7060">
      <w:start w:val="1"/>
      <w:numFmt w:val="bullet"/>
      <w:lvlText w:val=""/>
      <w:lvlJc w:val="left"/>
      <w:pPr>
        <w:ind w:left="2880" w:hanging="360"/>
      </w:pPr>
      <w:rPr>
        <w:rFonts w:hint="default" w:ascii="Symbol" w:hAnsi="Symbol"/>
      </w:rPr>
    </w:lvl>
    <w:lvl w:ilvl="4" w:tplc="B248EA8E">
      <w:start w:val="1"/>
      <w:numFmt w:val="bullet"/>
      <w:lvlText w:val="o"/>
      <w:lvlJc w:val="left"/>
      <w:pPr>
        <w:ind w:left="3600" w:hanging="360"/>
      </w:pPr>
      <w:rPr>
        <w:rFonts w:hint="default" w:ascii="Courier New" w:hAnsi="Courier New"/>
      </w:rPr>
    </w:lvl>
    <w:lvl w:ilvl="5" w:tplc="E74A9ED6">
      <w:start w:val="1"/>
      <w:numFmt w:val="bullet"/>
      <w:lvlText w:val=""/>
      <w:lvlJc w:val="left"/>
      <w:pPr>
        <w:ind w:left="4320" w:hanging="360"/>
      </w:pPr>
      <w:rPr>
        <w:rFonts w:hint="default" w:ascii="Wingdings" w:hAnsi="Wingdings"/>
      </w:rPr>
    </w:lvl>
    <w:lvl w:ilvl="6" w:tplc="20FA89E4">
      <w:start w:val="1"/>
      <w:numFmt w:val="bullet"/>
      <w:lvlText w:val=""/>
      <w:lvlJc w:val="left"/>
      <w:pPr>
        <w:ind w:left="5040" w:hanging="360"/>
      </w:pPr>
      <w:rPr>
        <w:rFonts w:hint="default" w:ascii="Symbol" w:hAnsi="Symbol"/>
      </w:rPr>
    </w:lvl>
    <w:lvl w:ilvl="7" w:tplc="85B053B0">
      <w:start w:val="1"/>
      <w:numFmt w:val="bullet"/>
      <w:lvlText w:val="o"/>
      <w:lvlJc w:val="left"/>
      <w:pPr>
        <w:ind w:left="5760" w:hanging="360"/>
      </w:pPr>
      <w:rPr>
        <w:rFonts w:hint="default" w:ascii="Courier New" w:hAnsi="Courier New"/>
      </w:rPr>
    </w:lvl>
    <w:lvl w:ilvl="8" w:tplc="DB4686DE">
      <w:start w:val="1"/>
      <w:numFmt w:val="bullet"/>
      <w:lvlText w:val=""/>
      <w:lvlJc w:val="left"/>
      <w:pPr>
        <w:ind w:left="6480" w:hanging="360"/>
      </w:pPr>
      <w:rPr>
        <w:rFonts w:hint="default" w:ascii="Wingdings" w:hAnsi="Wingdings"/>
      </w:rPr>
    </w:lvl>
  </w:abstractNum>
  <w:abstractNum w:abstractNumId="30" w15:restartNumberingAfterBreak="0">
    <w:nsid w:val="6D35F4EF"/>
    <w:multiLevelType w:val="hybridMultilevel"/>
    <w:tmpl w:val="FFFFFFFF"/>
    <w:lvl w:ilvl="0" w:tplc="035EA150">
      <w:start w:val="1"/>
      <w:numFmt w:val="bullet"/>
      <w:lvlText w:val=""/>
      <w:lvlJc w:val="left"/>
      <w:pPr>
        <w:ind w:left="720" w:hanging="360"/>
      </w:pPr>
      <w:rPr>
        <w:rFonts w:hint="default" w:ascii="Symbol" w:hAnsi="Symbol"/>
      </w:rPr>
    </w:lvl>
    <w:lvl w:ilvl="1" w:tplc="012C6360">
      <w:start w:val="1"/>
      <w:numFmt w:val="bullet"/>
      <w:lvlText w:val="o"/>
      <w:lvlJc w:val="left"/>
      <w:pPr>
        <w:ind w:left="1440" w:hanging="360"/>
      </w:pPr>
      <w:rPr>
        <w:rFonts w:hint="default" w:ascii="Courier New" w:hAnsi="Courier New"/>
      </w:rPr>
    </w:lvl>
    <w:lvl w:ilvl="2" w:tplc="B3B84D90">
      <w:start w:val="1"/>
      <w:numFmt w:val="bullet"/>
      <w:lvlText w:val=""/>
      <w:lvlJc w:val="left"/>
      <w:pPr>
        <w:ind w:left="2160" w:hanging="360"/>
      </w:pPr>
      <w:rPr>
        <w:rFonts w:hint="default" w:ascii="Wingdings" w:hAnsi="Wingdings"/>
      </w:rPr>
    </w:lvl>
    <w:lvl w:ilvl="3" w:tplc="1BE47F08">
      <w:start w:val="1"/>
      <w:numFmt w:val="bullet"/>
      <w:lvlText w:val=""/>
      <w:lvlJc w:val="left"/>
      <w:pPr>
        <w:ind w:left="2880" w:hanging="360"/>
      </w:pPr>
      <w:rPr>
        <w:rFonts w:hint="default" w:ascii="Symbol" w:hAnsi="Symbol"/>
      </w:rPr>
    </w:lvl>
    <w:lvl w:ilvl="4" w:tplc="DD6E60FC">
      <w:start w:val="1"/>
      <w:numFmt w:val="bullet"/>
      <w:lvlText w:val="o"/>
      <w:lvlJc w:val="left"/>
      <w:pPr>
        <w:ind w:left="3600" w:hanging="360"/>
      </w:pPr>
      <w:rPr>
        <w:rFonts w:hint="default" w:ascii="Courier New" w:hAnsi="Courier New"/>
      </w:rPr>
    </w:lvl>
    <w:lvl w:ilvl="5" w:tplc="1C88FEDA">
      <w:start w:val="1"/>
      <w:numFmt w:val="bullet"/>
      <w:lvlText w:val=""/>
      <w:lvlJc w:val="left"/>
      <w:pPr>
        <w:ind w:left="4320" w:hanging="360"/>
      </w:pPr>
      <w:rPr>
        <w:rFonts w:hint="default" w:ascii="Wingdings" w:hAnsi="Wingdings"/>
      </w:rPr>
    </w:lvl>
    <w:lvl w:ilvl="6" w:tplc="9CD07BA8">
      <w:start w:val="1"/>
      <w:numFmt w:val="bullet"/>
      <w:lvlText w:val=""/>
      <w:lvlJc w:val="left"/>
      <w:pPr>
        <w:ind w:left="5040" w:hanging="360"/>
      </w:pPr>
      <w:rPr>
        <w:rFonts w:hint="default" w:ascii="Symbol" w:hAnsi="Symbol"/>
      </w:rPr>
    </w:lvl>
    <w:lvl w:ilvl="7" w:tplc="5C56A474">
      <w:start w:val="1"/>
      <w:numFmt w:val="bullet"/>
      <w:lvlText w:val="o"/>
      <w:lvlJc w:val="left"/>
      <w:pPr>
        <w:ind w:left="5760" w:hanging="360"/>
      </w:pPr>
      <w:rPr>
        <w:rFonts w:hint="default" w:ascii="Courier New" w:hAnsi="Courier New"/>
      </w:rPr>
    </w:lvl>
    <w:lvl w:ilvl="8" w:tplc="686C6E36">
      <w:start w:val="1"/>
      <w:numFmt w:val="bullet"/>
      <w:lvlText w:val=""/>
      <w:lvlJc w:val="left"/>
      <w:pPr>
        <w:ind w:left="6480" w:hanging="360"/>
      </w:pPr>
      <w:rPr>
        <w:rFonts w:hint="default" w:ascii="Wingdings" w:hAnsi="Wingdings"/>
      </w:rPr>
    </w:lvl>
  </w:abstractNum>
  <w:abstractNum w:abstractNumId="31" w15:restartNumberingAfterBreak="0">
    <w:nsid w:val="70C219F3"/>
    <w:multiLevelType w:val="hybridMultilevel"/>
    <w:tmpl w:val="5072871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72834A3A"/>
    <w:multiLevelType w:val="hybridMultilevel"/>
    <w:tmpl w:val="D4C6260A"/>
    <w:lvl w:ilvl="0" w:tplc="BE9609C6">
      <w:start w:val="1"/>
      <w:numFmt w:val="decimal"/>
      <w:lvlText w:val="%1."/>
      <w:lvlJc w:val="left"/>
      <w:pPr>
        <w:ind w:left="574" w:hanging="440"/>
      </w:pPr>
      <w:rPr>
        <w:rFonts w:hint="default" w:ascii="Calibri" w:hAnsi="Calibri" w:eastAsia="Calibri" w:cs="Calibri"/>
        <w:b/>
        <w:bCs/>
        <w:w w:val="100"/>
        <w:sz w:val="24"/>
        <w:szCs w:val="24"/>
        <w:lang w:val="es-ES" w:eastAsia="en-US" w:bidi="ar-SA"/>
      </w:rPr>
    </w:lvl>
    <w:lvl w:ilvl="1" w:tplc="65DAEAB4">
      <w:numFmt w:val="bullet"/>
      <w:lvlText w:val="•"/>
      <w:lvlJc w:val="left"/>
      <w:pPr>
        <w:ind w:left="1492" w:hanging="440"/>
      </w:pPr>
      <w:rPr>
        <w:rFonts w:hint="default"/>
        <w:lang w:val="es-ES" w:eastAsia="en-US" w:bidi="ar-SA"/>
      </w:rPr>
    </w:lvl>
    <w:lvl w:ilvl="2" w:tplc="AFBE7E54">
      <w:numFmt w:val="bullet"/>
      <w:lvlText w:val="•"/>
      <w:lvlJc w:val="left"/>
      <w:pPr>
        <w:ind w:left="2404" w:hanging="440"/>
      </w:pPr>
      <w:rPr>
        <w:rFonts w:hint="default"/>
        <w:lang w:val="es-ES" w:eastAsia="en-US" w:bidi="ar-SA"/>
      </w:rPr>
    </w:lvl>
    <w:lvl w:ilvl="3" w:tplc="C65C34CA">
      <w:numFmt w:val="bullet"/>
      <w:lvlText w:val="•"/>
      <w:lvlJc w:val="left"/>
      <w:pPr>
        <w:ind w:left="3316" w:hanging="440"/>
      </w:pPr>
      <w:rPr>
        <w:rFonts w:hint="default"/>
        <w:lang w:val="es-ES" w:eastAsia="en-US" w:bidi="ar-SA"/>
      </w:rPr>
    </w:lvl>
    <w:lvl w:ilvl="4" w:tplc="7BB0A106">
      <w:numFmt w:val="bullet"/>
      <w:lvlText w:val="•"/>
      <w:lvlJc w:val="left"/>
      <w:pPr>
        <w:ind w:left="4228" w:hanging="440"/>
      </w:pPr>
      <w:rPr>
        <w:rFonts w:hint="default"/>
        <w:lang w:val="es-ES" w:eastAsia="en-US" w:bidi="ar-SA"/>
      </w:rPr>
    </w:lvl>
    <w:lvl w:ilvl="5" w:tplc="EBC8F83C">
      <w:numFmt w:val="bullet"/>
      <w:lvlText w:val="•"/>
      <w:lvlJc w:val="left"/>
      <w:pPr>
        <w:ind w:left="5140" w:hanging="440"/>
      </w:pPr>
      <w:rPr>
        <w:rFonts w:hint="default"/>
        <w:lang w:val="es-ES" w:eastAsia="en-US" w:bidi="ar-SA"/>
      </w:rPr>
    </w:lvl>
    <w:lvl w:ilvl="6" w:tplc="D870CC0C">
      <w:numFmt w:val="bullet"/>
      <w:lvlText w:val="•"/>
      <w:lvlJc w:val="left"/>
      <w:pPr>
        <w:ind w:left="6052" w:hanging="440"/>
      </w:pPr>
      <w:rPr>
        <w:rFonts w:hint="default"/>
        <w:lang w:val="es-ES" w:eastAsia="en-US" w:bidi="ar-SA"/>
      </w:rPr>
    </w:lvl>
    <w:lvl w:ilvl="7" w:tplc="92B6F64E">
      <w:numFmt w:val="bullet"/>
      <w:lvlText w:val="•"/>
      <w:lvlJc w:val="left"/>
      <w:pPr>
        <w:ind w:left="6964" w:hanging="440"/>
      </w:pPr>
      <w:rPr>
        <w:rFonts w:hint="default"/>
        <w:lang w:val="es-ES" w:eastAsia="en-US" w:bidi="ar-SA"/>
      </w:rPr>
    </w:lvl>
    <w:lvl w:ilvl="8" w:tplc="9388665C">
      <w:numFmt w:val="bullet"/>
      <w:lvlText w:val="•"/>
      <w:lvlJc w:val="left"/>
      <w:pPr>
        <w:ind w:left="7876" w:hanging="440"/>
      </w:pPr>
      <w:rPr>
        <w:rFonts w:hint="default"/>
        <w:lang w:val="es-ES" w:eastAsia="en-US" w:bidi="ar-SA"/>
      </w:rPr>
    </w:lvl>
  </w:abstractNum>
  <w:abstractNum w:abstractNumId="33" w15:restartNumberingAfterBreak="0">
    <w:nsid w:val="73E85BD1"/>
    <w:multiLevelType w:val="hybridMultilevel"/>
    <w:tmpl w:val="01EAEDEC"/>
    <w:lvl w:ilvl="0" w:tplc="13842634">
      <w:start w:val="1"/>
      <w:numFmt w:val="decimal"/>
      <w:pStyle w:val="Heading1"/>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7719508A"/>
    <w:multiLevelType w:val="hybridMultilevel"/>
    <w:tmpl w:val="1FE0412A"/>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5" w15:restartNumberingAfterBreak="0">
    <w:nsid w:val="79812288"/>
    <w:multiLevelType w:val="multilevel"/>
    <w:tmpl w:val="A016FB1E"/>
    <w:lvl w:ilvl="0">
      <w:start w:val="1"/>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6" w15:restartNumberingAfterBreak="0">
    <w:nsid w:val="7F634C30"/>
    <w:multiLevelType w:val="hybridMultilevel"/>
    <w:tmpl w:val="3702B7C2"/>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765884645">
    <w:abstractNumId w:val="3"/>
  </w:num>
  <w:num w:numId="2" w16cid:durableId="859860351">
    <w:abstractNumId w:val="6"/>
  </w:num>
  <w:num w:numId="3" w16cid:durableId="347148163">
    <w:abstractNumId w:val="2"/>
  </w:num>
  <w:num w:numId="4" w16cid:durableId="73868669">
    <w:abstractNumId w:val="28"/>
  </w:num>
  <w:num w:numId="5" w16cid:durableId="1478495657">
    <w:abstractNumId w:val="32"/>
  </w:num>
  <w:num w:numId="6" w16cid:durableId="1929851343">
    <w:abstractNumId w:val="14"/>
  </w:num>
  <w:num w:numId="7" w16cid:durableId="1857769699">
    <w:abstractNumId w:val="10"/>
  </w:num>
  <w:num w:numId="8" w16cid:durableId="759987612">
    <w:abstractNumId w:val="31"/>
  </w:num>
  <w:num w:numId="9" w16cid:durableId="537202247">
    <w:abstractNumId w:val="9"/>
  </w:num>
  <w:num w:numId="10" w16cid:durableId="1381518598">
    <w:abstractNumId w:val="34"/>
  </w:num>
  <w:num w:numId="11" w16cid:durableId="2001880507">
    <w:abstractNumId w:val="25"/>
  </w:num>
  <w:num w:numId="12" w16cid:durableId="1154226197">
    <w:abstractNumId w:val="36"/>
  </w:num>
  <w:num w:numId="13" w16cid:durableId="2080518636">
    <w:abstractNumId w:val="20"/>
  </w:num>
  <w:num w:numId="14" w16cid:durableId="728502745">
    <w:abstractNumId w:val="15"/>
  </w:num>
  <w:num w:numId="15" w16cid:durableId="2011715455">
    <w:abstractNumId w:val="8"/>
  </w:num>
  <w:num w:numId="16" w16cid:durableId="2004115948">
    <w:abstractNumId w:val="19"/>
  </w:num>
  <w:num w:numId="17" w16cid:durableId="8455044">
    <w:abstractNumId w:val="27"/>
  </w:num>
  <w:num w:numId="18" w16cid:durableId="1977683748">
    <w:abstractNumId w:val="13"/>
  </w:num>
  <w:num w:numId="19" w16cid:durableId="1088382000">
    <w:abstractNumId w:val="4"/>
  </w:num>
  <w:num w:numId="20" w16cid:durableId="1181505376">
    <w:abstractNumId w:val="23"/>
  </w:num>
  <w:num w:numId="21" w16cid:durableId="1111434762">
    <w:abstractNumId w:val="5"/>
  </w:num>
  <w:num w:numId="22" w16cid:durableId="1686176497">
    <w:abstractNumId w:val="16"/>
  </w:num>
  <w:num w:numId="23" w16cid:durableId="1319505369">
    <w:abstractNumId w:val="18"/>
  </w:num>
  <w:num w:numId="24" w16cid:durableId="551426802">
    <w:abstractNumId w:val="0"/>
  </w:num>
  <w:num w:numId="25" w16cid:durableId="1008364534">
    <w:abstractNumId w:val="24"/>
  </w:num>
  <w:num w:numId="26" w16cid:durableId="1777016731">
    <w:abstractNumId w:val="35"/>
  </w:num>
  <w:num w:numId="27" w16cid:durableId="252517725">
    <w:abstractNumId w:val="7"/>
  </w:num>
  <w:num w:numId="28" w16cid:durableId="816383127">
    <w:abstractNumId w:val="12"/>
  </w:num>
  <w:num w:numId="29" w16cid:durableId="1110706827">
    <w:abstractNumId w:val="29"/>
  </w:num>
  <w:num w:numId="30" w16cid:durableId="39717522">
    <w:abstractNumId w:val="30"/>
  </w:num>
  <w:num w:numId="31" w16cid:durableId="1258295936">
    <w:abstractNumId w:val="26"/>
  </w:num>
  <w:num w:numId="32" w16cid:durableId="1172987529">
    <w:abstractNumId w:val="33"/>
  </w:num>
  <w:num w:numId="33" w16cid:durableId="376006207">
    <w:abstractNumId w:val="22"/>
  </w:num>
  <w:num w:numId="34" w16cid:durableId="931277723">
    <w:abstractNumId w:val="11"/>
  </w:num>
  <w:num w:numId="35" w16cid:durableId="337200190">
    <w:abstractNumId w:val="21"/>
  </w:num>
  <w:num w:numId="36" w16cid:durableId="1267275247">
    <w:abstractNumId w:val="1"/>
  </w:num>
  <w:num w:numId="37" w16cid:durableId="1783107302">
    <w:abstractNumId w:val="1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05F6"/>
    <w:rsid w:val="0000117A"/>
    <w:rsid w:val="00001370"/>
    <w:rsid w:val="000025BA"/>
    <w:rsid w:val="00003909"/>
    <w:rsid w:val="000042A8"/>
    <w:rsid w:val="00004773"/>
    <w:rsid w:val="00005850"/>
    <w:rsid w:val="000063C8"/>
    <w:rsid w:val="00006519"/>
    <w:rsid w:val="00006752"/>
    <w:rsid w:val="00011065"/>
    <w:rsid w:val="00011BDB"/>
    <w:rsid w:val="0001266A"/>
    <w:rsid w:val="000126E3"/>
    <w:rsid w:val="00012C8D"/>
    <w:rsid w:val="00012CF1"/>
    <w:rsid w:val="000147EA"/>
    <w:rsid w:val="000149B1"/>
    <w:rsid w:val="00014C7A"/>
    <w:rsid w:val="00015A6E"/>
    <w:rsid w:val="0001663B"/>
    <w:rsid w:val="0001768E"/>
    <w:rsid w:val="00017FCD"/>
    <w:rsid w:val="00022996"/>
    <w:rsid w:val="00024F54"/>
    <w:rsid w:val="00027651"/>
    <w:rsid w:val="0003128D"/>
    <w:rsid w:val="00031F49"/>
    <w:rsid w:val="00032227"/>
    <w:rsid w:val="00032731"/>
    <w:rsid w:val="00032BC3"/>
    <w:rsid w:val="0003382F"/>
    <w:rsid w:val="00034E84"/>
    <w:rsid w:val="00035992"/>
    <w:rsid w:val="0003647C"/>
    <w:rsid w:val="00036C21"/>
    <w:rsid w:val="000379EC"/>
    <w:rsid w:val="000404E9"/>
    <w:rsid w:val="00040B98"/>
    <w:rsid w:val="000412C0"/>
    <w:rsid w:val="00042F36"/>
    <w:rsid w:val="000441A7"/>
    <w:rsid w:val="00044275"/>
    <w:rsid w:val="00044758"/>
    <w:rsid w:val="00044E0A"/>
    <w:rsid w:val="00045704"/>
    <w:rsid w:val="00045866"/>
    <w:rsid w:val="00045C77"/>
    <w:rsid w:val="00047EC4"/>
    <w:rsid w:val="00051251"/>
    <w:rsid w:val="0005135A"/>
    <w:rsid w:val="000514DB"/>
    <w:rsid w:val="00053C07"/>
    <w:rsid w:val="00054BAC"/>
    <w:rsid w:val="00055C72"/>
    <w:rsid w:val="00057BEE"/>
    <w:rsid w:val="00061268"/>
    <w:rsid w:val="000623FF"/>
    <w:rsid w:val="000628C4"/>
    <w:rsid w:val="00062D21"/>
    <w:rsid w:val="000631A3"/>
    <w:rsid w:val="000640A2"/>
    <w:rsid w:val="000653F5"/>
    <w:rsid w:val="00066C47"/>
    <w:rsid w:val="00067073"/>
    <w:rsid w:val="000709AB"/>
    <w:rsid w:val="00070DC7"/>
    <w:rsid w:val="0007121B"/>
    <w:rsid w:val="0007144E"/>
    <w:rsid w:val="00072D3D"/>
    <w:rsid w:val="00072F36"/>
    <w:rsid w:val="00074583"/>
    <w:rsid w:val="00075242"/>
    <w:rsid w:val="0007549E"/>
    <w:rsid w:val="00075574"/>
    <w:rsid w:val="00075BE8"/>
    <w:rsid w:val="00076010"/>
    <w:rsid w:val="00076162"/>
    <w:rsid w:val="000766DC"/>
    <w:rsid w:val="00076B5F"/>
    <w:rsid w:val="00077635"/>
    <w:rsid w:val="00080743"/>
    <w:rsid w:val="00080F78"/>
    <w:rsid w:val="000811AA"/>
    <w:rsid w:val="0008145F"/>
    <w:rsid w:val="00082154"/>
    <w:rsid w:val="00083590"/>
    <w:rsid w:val="000838A0"/>
    <w:rsid w:val="00084C4D"/>
    <w:rsid w:val="000851D5"/>
    <w:rsid w:val="00085243"/>
    <w:rsid w:val="00085790"/>
    <w:rsid w:val="00090333"/>
    <w:rsid w:val="0009079C"/>
    <w:rsid w:val="00090D18"/>
    <w:rsid w:val="00090E6D"/>
    <w:rsid w:val="00091DBA"/>
    <w:rsid w:val="00091FDF"/>
    <w:rsid w:val="000924C0"/>
    <w:rsid w:val="00093477"/>
    <w:rsid w:val="000934A7"/>
    <w:rsid w:val="000934E4"/>
    <w:rsid w:val="00093809"/>
    <w:rsid w:val="00094F2B"/>
    <w:rsid w:val="00095000"/>
    <w:rsid w:val="00095022"/>
    <w:rsid w:val="00095CB4"/>
    <w:rsid w:val="000A013A"/>
    <w:rsid w:val="000A0AC8"/>
    <w:rsid w:val="000A0B7C"/>
    <w:rsid w:val="000A1EB3"/>
    <w:rsid w:val="000A2093"/>
    <w:rsid w:val="000A2367"/>
    <w:rsid w:val="000A2848"/>
    <w:rsid w:val="000A2E70"/>
    <w:rsid w:val="000A42D4"/>
    <w:rsid w:val="000A4D76"/>
    <w:rsid w:val="000A4DFB"/>
    <w:rsid w:val="000A4EBF"/>
    <w:rsid w:val="000A5656"/>
    <w:rsid w:val="000A594C"/>
    <w:rsid w:val="000A5D5C"/>
    <w:rsid w:val="000B002D"/>
    <w:rsid w:val="000B0E74"/>
    <w:rsid w:val="000B108F"/>
    <w:rsid w:val="000B1C49"/>
    <w:rsid w:val="000B1EBE"/>
    <w:rsid w:val="000B25EE"/>
    <w:rsid w:val="000B2ACE"/>
    <w:rsid w:val="000B2CF0"/>
    <w:rsid w:val="000B3BEE"/>
    <w:rsid w:val="000B488F"/>
    <w:rsid w:val="000B53CE"/>
    <w:rsid w:val="000B5BEF"/>
    <w:rsid w:val="000B5F30"/>
    <w:rsid w:val="000B689D"/>
    <w:rsid w:val="000C0C5F"/>
    <w:rsid w:val="000C110B"/>
    <w:rsid w:val="000C2BC1"/>
    <w:rsid w:val="000C3EA7"/>
    <w:rsid w:val="000C3F69"/>
    <w:rsid w:val="000C48D6"/>
    <w:rsid w:val="000C49DA"/>
    <w:rsid w:val="000C5A3A"/>
    <w:rsid w:val="000C5F9A"/>
    <w:rsid w:val="000C6B2A"/>
    <w:rsid w:val="000D0096"/>
    <w:rsid w:val="000D1703"/>
    <w:rsid w:val="000D17E6"/>
    <w:rsid w:val="000D184B"/>
    <w:rsid w:val="000D20BD"/>
    <w:rsid w:val="000D257F"/>
    <w:rsid w:val="000D2789"/>
    <w:rsid w:val="000D2C73"/>
    <w:rsid w:val="000D2D2E"/>
    <w:rsid w:val="000D549C"/>
    <w:rsid w:val="000D5559"/>
    <w:rsid w:val="000D6B35"/>
    <w:rsid w:val="000D7DF3"/>
    <w:rsid w:val="000E0AF9"/>
    <w:rsid w:val="000E0E81"/>
    <w:rsid w:val="000E2767"/>
    <w:rsid w:val="000E3401"/>
    <w:rsid w:val="000E39B8"/>
    <w:rsid w:val="000E4EB6"/>
    <w:rsid w:val="000E5A02"/>
    <w:rsid w:val="000E727D"/>
    <w:rsid w:val="000E7A39"/>
    <w:rsid w:val="000E7BB2"/>
    <w:rsid w:val="000E7DB4"/>
    <w:rsid w:val="000F0349"/>
    <w:rsid w:val="000F0420"/>
    <w:rsid w:val="000F09AF"/>
    <w:rsid w:val="000F0A75"/>
    <w:rsid w:val="000F0F07"/>
    <w:rsid w:val="000F124A"/>
    <w:rsid w:val="000F1336"/>
    <w:rsid w:val="000F14A8"/>
    <w:rsid w:val="000F1923"/>
    <w:rsid w:val="000F1B10"/>
    <w:rsid w:val="000F1FAA"/>
    <w:rsid w:val="000F2A94"/>
    <w:rsid w:val="000F2E02"/>
    <w:rsid w:val="000F311E"/>
    <w:rsid w:val="000F3E6D"/>
    <w:rsid w:val="000F469F"/>
    <w:rsid w:val="000F6020"/>
    <w:rsid w:val="000F67C8"/>
    <w:rsid w:val="000F6D69"/>
    <w:rsid w:val="000F7DA1"/>
    <w:rsid w:val="00101E7E"/>
    <w:rsid w:val="001021DA"/>
    <w:rsid w:val="00102DF1"/>
    <w:rsid w:val="00103789"/>
    <w:rsid w:val="0010387E"/>
    <w:rsid w:val="00103FFB"/>
    <w:rsid w:val="001040E0"/>
    <w:rsid w:val="001045B4"/>
    <w:rsid w:val="00104B84"/>
    <w:rsid w:val="0010557C"/>
    <w:rsid w:val="001056BC"/>
    <w:rsid w:val="00106995"/>
    <w:rsid w:val="00110243"/>
    <w:rsid w:val="00110344"/>
    <w:rsid w:val="00110415"/>
    <w:rsid w:val="00110CED"/>
    <w:rsid w:val="00110EA0"/>
    <w:rsid w:val="00111748"/>
    <w:rsid w:val="001119A0"/>
    <w:rsid w:val="00111ABB"/>
    <w:rsid w:val="00111B66"/>
    <w:rsid w:val="00111C9F"/>
    <w:rsid w:val="00112AA9"/>
    <w:rsid w:val="00112D95"/>
    <w:rsid w:val="00112E40"/>
    <w:rsid w:val="00112F3F"/>
    <w:rsid w:val="00113DE2"/>
    <w:rsid w:val="0011497B"/>
    <w:rsid w:val="00115141"/>
    <w:rsid w:val="00116017"/>
    <w:rsid w:val="001164D6"/>
    <w:rsid w:val="00116C08"/>
    <w:rsid w:val="00116F68"/>
    <w:rsid w:val="001175C6"/>
    <w:rsid w:val="00117A43"/>
    <w:rsid w:val="00117BC6"/>
    <w:rsid w:val="00117C78"/>
    <w:rsid w:val="00120D65"/>
    <w:rsid w:val="00121D2A"/>
    <w:rsid w:val="001237B0"/>
    <w:rsid w:val="00124EDC"/>
    <w:rsid w:val="00125D33"/>
    <w:rsid w:val="0012631B"/>
    <w:rsid w:val="0012694C"/>
    <w:rsid w:val="00130029"/>
    <w:rsid w:val="00130704"/>
    <w:rsid w:val="0013179D"/>
    <w:rsid w:val="00131F76"/>
    <w:rsid w:val="00132229"/>
    <w:rsid w:val="00133B06"/>
    <w:rsid w:val="00133BCF"/>
    <w:rsid w:val="00134522"/>
    <w:rsid w:val="00134692"/>
    <w:rsid w:val="00134800"/>
    <w:rsid w:val="00135055"/>
    <w:rsid w:val="00135CFB"/>
    <w:rsid w:val="00137AD0"/>
    <w:rsid w:val="00140405"/>
    <w:rsid w:val="00140529"/>
    <w:rsid w:val="001407EF"/>
    <w:rsid w:val="00141577"/>
    <w:rsid w:val="001419AA"/>
    <w:rsid w:val="00141BC0"/>
    <w:rsid w:val="00141FFE"/>
    <w:rsid w:val="001429E5"/>
    <w:rsid w:val="00142C87"/>
    <w:rsid w:val="00143269"/>
    <w:rsid w:val="001449C6"/>
    <w:rsid w:val="00144C22"/>
    <w:rsid w:val="001460CB"/>
    <w:rsid w:val="00150C26"/>
    <w:rsid w:val="0015149B"/>
    <w:rsid w:val="001514EF"/>
    <w:rsid w:val="00151569"/>
    <w:rsid w:val="00151602"/>
    <w:rsid w:val="0015254C"/>
    <w:rsid w:val="001527A7"/>
    <w:rsid w:val="00152B96"/>
    <w:rsid w:val="0015311B"/>
    <w:rsid w:val="00153B65"/>
    <w:rsid w:val="00154138"/>
    <w:rsid w:val="00154CA1"/>
    <w:rsid w:val="00154D52"/>
    <w:rsid w:val="00156E47"/>
    <w:rsid w:val="0015759F"/>
    <w:rsid w:val="001576D8"/>
    <w:rsid w:val="00157904"/>
    <w:rsid w:val="001579BE"/>
    <w:rsid w:val="00157BC6"/>
    <w:rsid w:val="0016024F"/>
    <w:rsid w:val="00160932"/>
    <w:rsid w:val="00160D29"/>
    <w:rsid w:val="001617D2"/>
    <w:rsid w:val="001627CA"/>
    <w:rsid w:val="00163158"/>
    <w:rsid w:val="00163910"/>
    <w:rsid w:val="001639E5"/>
    <w:rsid w:val="00163AAF"/>
    <w:rsid w:val="00163C75"/>
    <w:rsid w:val="00163E85"/>
    <w:rsid w:val="00163E9F"/>
    <w:rsid w:val="00164AB0"/>
    <w:rsid w:val="00164F0E"/>
    <w:rsid w:val="00165D4A"/>
    <w:rsid w:val="00166254"/>
    <w:rsid w:val="001663F9"/>
    <w:rsid w:val="001669FA"/>
    <w:rsid w:val="00166F7C"/>
    <w:rsid w:val="0016752E"/>
    <w:rsid w:val="00167C3B"/>
    <w:rsid w:val="00167FEB"/>
    <w:rsid w:val="0016EBF9"/>
    <w:rsid w:val="00170059"/>
    <w:rsid w:val="00170344"/>
    <w:rsid w:val="00171849"/>
    <w:rsid w:val="00171CFF"/>
    <w:rsid w:val="00171F20"/>
    <w:rsid w:val="001723E9"/>
    <w:rsid w:val="001724EE"/>
    <w:rsid w:val="00172760"/>
    <w:rsid w:val="00174F19"/>
    <w:rsid w:val="00175E0E"/>
    <w:rsid w:val="00176F9A"/>
    <w:rsid w:val="00180E81"/>
    <w:rsid w:val="0018158B"/>
    <w:rsid w:val="00181716"/>
    <w:rsid w:val="00181C74"/>
    <w:rsid w:val="00182B16"/>
    <w:rsid w:val="00182BA4"/>
    <w:rsid w:val="00183016"/>
    <w:rsid w:val="00184848"/>
    <w:rsid w:val="001849A0"/>
    <w:rsid w:val="001859AD"/>
    <w:rsid w:val="0018639B"/>
    <w:rsid w:val="0018702D"/>
    <w:rsid w:val="00190171"/>
    <w:rsid w:val="00190815"/>
    <w:rsid w:val="0019082E"/>
    <w:rsid w:val="001913AE"/>
    <w:rsid w:val="00191644"/>
    <w:rsid w:val="00191B6B"/>
    <w:rsid w:val="00192593"/>
    <w:rsid w:val="00192D59"/>
    <w:rsid w:val="00193078"/>
    <w:rsid w:val="0019389D"/>
    <w:rsid w:val="001938EA"/>
    <w:rsid w:val="00193920"/>
    <w:rsid w:val="001944B9"/>
    <w:rsid w:val="00194A08"/>
    <w:rsid w:val="00194D29"/>
    <w:rsid w:val="0019511C"/>
    <w:rsid w:val="001955CE"/>
    <w:rsid w:val="00196E28"/>
    <w:rsid w:val="00197061"/>
    <w:rsid w:val="001A08DC"/>
    <w:rsid w:val="001A0F36"/>
    <w:rsid w:val="001A12AF"/>
    <w:rsid w:val="001A1D86"/>
    <w:rsid w:val="001A2121"/>
    <w:rsid w:val="001A3632"/>
    <w:rsid w:val="001A4100"/>
    <w:rsid w:val="001A44F0"/>
    <w:rsid w:val="001A4E90"/>
    <w:rsid w:val="001A4F16"/>
    <w:rsid w:val="001A57A3"/>
    <w:rsid w:val="001A66F1"/>
    <w:rsid w:val="001A6C18"/>
    <w:rsid w:val="001A6E86"/>
    <w:rsid w:val="001A7DDF"/>
    <w:rsid w:val="001B0C8C"/>
    <w:rsid w:val="001B0DD3"/>
    <w:rsid w:val="001B108A"/>
    <w:rsid w:val="001B1655"/>
    <w:rsid w:val="001B1CC1"/>
    <w:rsid w:val="001B2002"/>
    <w:rsid w:val="001B2284"/>
    <w:rsid w:val="001B299A"/>
    <w:rsid w:val="001B3821"/>
    <w:rsid w:val="001B3E37"/>
    <w:rsid w:val="001B4952"/>
    <w:rsid w:val="001B6128"/>
    <w:rsid w:val="001B6B2C"/>
    <w:rsid w:val="001B7788"/>
    <w:rsid w:val="001B7B48"/>
    <w:rsid w:val="001C0444"/>
    <w:rsid w:val="001C063D"/>
    <w:rsid w:val="001C0794"/>
    <w:rsid w:val="001C2B81"/>
    <w:rsid w:val="001C3505"/>
    <w:rsid w:val="001C3D71"/>
    <w:rsid w:val="001C4498"/>
    <w:rsid w:val="001C4667"/>
    <w:rsid w:val="001C46B1"/>
    <w:rsid w:val="001C4A6B"/>
    <w:rsid w:val="001C5A6A"/>
    <w:rsid w:val="001C5C3A"/>
    <w:rsid w:val="001C5FBD"/>
    <w:rsid w:val="001C649F"/>
    <w:rsid w:val="001C6E5C"/>
    <w:rsid w:val="001C7605"/>
    <w:rsid w:val="001C76A9"/>
    <w:rsid w:val="001D01D5"/>
    <w:rsid w:val="001D1FD6"/>
    <w:rsid w:val="001D2295"/>
    <w:rsid w:val="001D2DE8"/>
    <w:rsid w:val="001D37C9"/>
    <w:rsid w:val="001D4A4A"/>
    <w:rsid w:val="001D62D5"/>
    <w:rsid w:val="001D7FBF"/>
    <w:rsid w:val="001E0A25"/>
    <w:rsid w:val="001E0AFE"/>
    <w:rsid w:val="001E1D3B"/>
    <w:rsid w:val="001E2DCA"/>
    <w:rsid w:val="001E2F0D"/>
    <w:rsid w:val="001E376D"/>
    <w:rsid w:val="001E4100"/>
    <w:rsid w:val="001E4FA4"/>
    <w:rsid w:val="001E5281"/>
    <w:rsid w:val="001E5C69"/>
    <w:rsid w:val="001E6F9A"/>
    <w:rsid w:val="001E71C0"/>
    <w:rsid w:val="001F0C89"/>
    <w:rsid w:val="001F10FA"/>
    <w:rsid w:val="001F255A"/>
    <w:rsid w:val="001F2700"/>
    <w:rsid w:val="001F2D37"/>
    <w:rsid w:val="001F2EE2"/>
    <w:rsid w:val="001F4649"/>
    <w:rsid w:val="001F59F7"/>
    <w:rsid w:val="001F601E"/>
    <w:rsid w:val="001F60BF"/>
    <w:rsid w:val="001F6A53"/>
    <w:rsid w:val="001F721C"/>
    <w:rsid w:val="001F75A9"/>
    <w:rsid w:val="002011AC"/>
    <w:rsid w:val="00201EBB"/>
    <w:rsid w:val="002029B8"/>
    <w:rsid w:val="00203FCE"/>
    <w:rsid w:val="00205ACF"/>
    <w:rsid w:val="00206824"/>
    <w:rsid w:val="002069B2"/>
    <w:rsid w:val="00206B1A"/>
    <w:rsid w:val="00206DD2"/>
    <w:rsid w:val="002070DD"/>
    <w:rsid w:val="00207D0A"/>
    <w:rsid w:val="00207DB1"/>
    <w:rsid w:val="0021129A"/>
    <w:rsid w:val="00212527"/>
    <w:rsid w:val="0021294E"/>
    <w:rsid w:val="00212DDF"/>
    <w:rsid w:val="00213634"/>
    <w:rsid w:val="00213D22"/>
    <w:rsid w:val="00215575"/>
    <w:rsid w:val="002159AD"/>
    <w:rsid w:val="00215AC6"/>
    <w:rsid w:val="00215E02"/>
    <w:rsid w:val="00216BC5"/>
    <w:rsid w:val="00217293"/>
    <w:rsid w:val="00217A6C"/>
    <w:rsid w:val="00217C74"/>
    <w:rsid w:val="00220049"/>
    <w:rsid w:val="00220181"/>
    <w:rsid w:val="002207A4"/>
    <w:rsid w:val="00222CFF"/>
    <w:rsid w:val="002235FA"/>
    <w:rsid w:val="00224020"/>
    <w:rsid w:val="00224093"/>
    <w:rsid w:val="002249C7"/>
    <w:rsid w:val="00225D6A"/>
    <w:rsid w:val="00227B8C"/>
    <w:rsid w:val="0023074A"/>
    <w:rsid w:val="002323A9"/>
    <w:rsid w:val="00232490"/>
    <w:rsid w:val="00232C40"/>
    <w:rsid w:val="002349AF"/>
    <w:rsid w:val="00235356"/>
    <w:rsid w:val="00235DF5"/>
    <w:rsid w:val="0023627A"/>
    <w:rsid w:val="00236442"/>
    <w:rsid w:val="0023669D"/>
    <w:rsid w:val="002367B3"/>
    <w:rsid w:val="00236A72"/>
    <w:rsid w:val="00237747"/>
    <w:rsid w:val="0023793B"/>
    <w:rsid w:val="0024062E"/>
    <w:rsid w:val="00240B41"/>
    <w:rsid w:val="0024169E"/>
    <w:rsid w:val="0024171E"/>
    <w:rsid w:val="0024346A"/>
    <w:rsid w:val="00244103"/>
    <w:rsid w:val="00244339"/>
    <w:rsid w:val="0024437F"/>
    <w:rsid w:val="00244561"/>
    <w:rsid w:val="002451DD"/>
    <w:rsid w:val="00245335"/>
    <w:rsid w:val="00245418"/>
    <w:rsid w:val="00245E8C"/>
    <w:rsid w:val="002479C3"/>
    <w:rsid w:val="00250499"/>
    <w:rsid w:val="00251D0B"/>
    <w:rsid w:val="00251D75"/>
    <w:rsid w:val="00253AE4"/>
    <w:rsid w:val="00253BAE"/>
    <w:rsid w:val="00254756"/>
    <w:rsid w:val="00254765"/>
    <w:rsid w:val="00256D44"/>
    <w:rsid w:val="0025742A"/>
    <w:rsid w:val="00257D71"/>
    <w:rsid w:val="00260027"/>
    <w:rsid w:val="0026036C"/>
    <w:rsid w:val="00261EDB"/>
    <w:rsid w:val="00263446"/>
    <w:rsid w:val="00263D17"/>
    <w:rsid w:val="002642F7"/>
    <w:rsid w:val="00264B8B"/>
    <w:rsid w:val="00264C46"/>
    <w:rsid w:val="00265567"/>
    <w:rsid w:val="00266124"/>
    <w:rsid w:val="00267415"/>
    <w:rsid w:val="002678E3"/>
    <w:rsid w:val="002679DE"/>
    <w:rsid w:val="002704B2"/>
    <w:rsid w:val="002715D2"/>
    <w:rsid w:val="00271628"/>
    <w:rsid w:val="0027164D"/>
    <w:rsid w:val="00272239"/>
    <w:rsid w:val="0027464D"/>
    <w:rsid w:val="00274ACE"/>
    <w:rsid w:val="00274EE2"/>
    <w:rsid w:val="00275070"/>
    <w:rsid w:val="00275475"/>
    <w:rsid w:val="002754B9"/>
    <w:rsid w:val="00275844"/>
    <w:rsid w:val="00276593"/>
    <w:rsid w:val="00277332"/>
    <w:rsid w:val="002779ED"/>
    <w:rsid w:val="00280534"/>
    <w:rsid w:val="002809B3"/>
    <w:rsid w:val="00280D9B"/>
    <w:rsid w:val="00280F8E"/>
    <w:rsid w:val="00281110"/>
    <w:rsid w:val="002823C1"/>
    <w:rsid w:val="002824E7"/>
    <w:rsid w:val="00282612"/>
    <w:rsid w:val="0028274A"/>
    <w:rsid w:val="00282D35"/>
    <w:rsid w:val="00285BF1"/>
    <w:rsid w:val="00286344"/>
    <w:rsid w:val="00286504"/>
    <w:rsid w:val="00286E6F"/>
    <w:rsid w:val="0028701B"/>
    <w:rsid w:val="002870B9"/>
    <w:rsid w:val="00287FBC"/>
    <w:rsid w:val="0029046C"/>
    <w:rsid w:val="00290852"/>
    <w:rsid w:val="002919E7"/>
    <w:rsid w:val="002936C9"/>
    <w:rsid w:val="002938F9"/>
    <w:rsid w:val="00294326"/>
    <w:rsid w:val="002952BF"/>
    <w:rsid w:val="002954EC"/>
    <w:rsid w:val="002973D0"/>
    <w:rsid w:val="00297AF8"/>
    <w:rsid w:val="002A028C"/>
    <w:rsid w:val="002A0BF7"/>
    <w:rsid w:val="002A398A"/>
    <w:rsid w:val="002A467A"/>
    <w:rsid w:val="002A4C8D"/>
    <w:rsid w:val="002A70E6"/>
    <w:rsid w:val="002B18BA"/>
    <w:rsid w:val="002B2CDD"/>
    <w:rsid w:val="002B47B9"/>
    <w:rsid w:val="002B5C21"/>
    <w:rsid w:val="002B6556"/>
    <w:rsid w:val="002B663D"/>
    <w:rsid w:val="002B6DC7"/>
    <w:rsid w:val="002C077A"/>
    <w:rsid w:val="002C165A"/>
    <w:rsid w:val="002C22F3"/>
    <w:rsid w:val="002C252C"/>
    <w:rsid w:val="002C44AD"/>
    <w:rsid w:val="002C48F3"/>
    <w:rsid w:val="002C62E5"/>
    <w:rsid w:val="002C6B47"/>
    <w:rsid w:val="002C70D1"/>
    <w:rsid w:val="002D1AB7"/>
    <w:rsid w:val="002D2A3A"/>
    <w:rsid w:val="002D32B0"/>
    <w:rsid w:val="002D33C3"/>
    <w:rsid w:val="002D4204"/>
    <w:rsid w:val="002D42DC"/>
    <w:rsid w:val="002D62DB"/>
    <w:rsid w:val="002D7314"/>
    <w:rsid w:val="002D781B"/>
    <w:rsid w:val="002E09A3"/>
    <w:rsid w:val="002E57D4"/>
    <w:rsid w:val="002E6595"/>
    <w:rsid w:val="002E760E"/>
    <w:rsid w:val="002F07E3"/>
    <w:rsid w:val="002F0C1B"/>
    <w:rsid w:val="002F1794"/>
    <w:rsid w:val="002F1DCA"/>
    <w:rsid w:val="002F1FCD"/>
    <w:rsid w:val="002F45EF"/>
    <w:rsid w:val="002F47EA"/>
    <w:rsid w:val="002F49C4"/>
    <w:rsid w:val="002F62F5"/>
    <w:rsid w:val="002F6885"/>
    <w:rsid w:val="002F68D9"/>
    <w:rsid w:val="002F6E3C"/>
    <w:rsid w:val="00300067"/>
    <w:rsid w:val="0030239D"/>
    <w:rsid w:val="003023AC"/>
    <w:rsid w:val="0030371D"/>
    <w:rsid w:val="0030400A"/>
    <w:rsid w:val="00304F75"/>
    <w:rsid w:val="00305A7D"/>
    <w:rsid w:val="0030605C"/>
    <w:rsid w:val="003066AB"/>
    <w:rsid w:val="00307676"/>
    <w:rsid w:val="00307DBB"/>
    <w:rsid w:val="003105D0"/>
    <w:rsid w:val="00311696"/>
    <w:rsid w:val="003127B9"/>
    <w:rsid w:val="003129A5"/>
    <w:rsid w:val="0031361B"/>
    <w:rsid w:val="00313682"/>
    <w:rsid w:val="00313955"/>
    <w:rsid w:val="0031513E"/>
    <w:rsid w:val="003152F0"/>
    <w:rsid w:val="0031533F"/>
    <w:rsid w:val="0031699B"/>
    <w:rsid w:val="003203A2"/>
    <w:rsid w:val="00320570"/>
    <w:rsid w:val="003210E3"/>
    <w:rsid w:val="003210FB"/>
    <w:rsid w:val="00321473"/>
    <w:rsid w:val="00321A8A"/>
    <w:rsid w:val="00322972"/>
    <w:rsid w:val="0032428F"/>
    <w:rsid w:val="003242E0"/>
    <w:rsid w:val="003273A8"/>
    <w:rsid w:val="00327CDA"/>
    <w:rsid w:val="00331BE4"/>
    <w:rsid w:val="00331FCA"/>
    <w:rsid w:val="003321BF"/>
    <w:rsid w:val="00332ADC"/>
    <w:rsid w:val="00332B22"/>
    <w:rsid w:val="0033420E"/>
    <w:rsid w:val="00334EE8"/>
    <w:rsid w:val="00334F7E"/>
    <w:rsid w:val="00335E85"/>
    <w:rsid w:val="00337F70"/>
    <w:rsid w:val="00340733"/>
    <w:rsid w:val="00340942"/>
    <w:rsid w:val="0034203E"/>
    <w:rsid w:val="00342455"/>
    <w:rsid w:val="003437C9"/>
    <w:rsid w:val="00343CAF"/>
    <w:rsid w:val="0034422A"/>
    <w:rsid w:val="00344B62"/>
    <w:rsid w:val="003464C4"/>
    <w:rsid w:val="0034743B"/>
    <w:rsid w:val="0034788D"/>
    <w:rsid w:val="00347D2B"/>
    <w:rsid w:val="00347FF0"/>
    <w:rsid w:val="00350782"/>
    <w:rsid w:val="0035119F"/>
    <w:rsid w:val="0035145A"/>
    <w:rsid w:val="00353CB3"/>
    <w:rsid w:val="00356ED6"/>
    <w:rsid w:val="0035741C"/>
    <w:rsid w:val="00357C67"/>
    <w:rsid w:val="00360B3B"/>
    <w:rsid w:val="003616CF"/>
    <w:rsid w:val="00361CD3"/>
    <w:rsid w:val="00362941"/>
    <w:rsid w:val="00362989"/>
    <w:rsid w:val="00362CC6"/>
    <w:rsid w:val="00362F4E"/>
    <w:rsid w:val="00363394"/>
    <w:rsid w:val="0036445A"/>
    <w:rsid w:val="0036591F"/>
    <w:rsid w:val="00365FB1"/>
    <w:rsid w:val="00366A5E"/>
    <w:rsid w:val="00367991"/>
    <w:rsid w:val="00367D69"/>
    <w:rsid w:val="00367EDE"/>
    <w:rsid w:val="00367EE8"/>
    <w:rsid w:val="00371E79"/>
    <w:rsid w:val="0037343F"/>
    <w:rsid w:val="003737F2"/>
    <w:rsid w:val="00373F79"/>
    <w:rsid w:val="0037591C"/>
    <w:rsid w:val="00375F8A"/>
    <w:rsid w:val="00377A5F"/>
    <w:rsid w:val="00380048"/>
    <w:rsid w:val="00380D59"/>
    <w:rsid w:val="003815AE"/>
    <w:rsid w:val="00381AC4"/>
    <w:rsid w:val="003833F0"/>
    <w:rsid w:val="00383A70"/>
    <w:rsid w:val="00383B38"/>
    <w:rsid w:val="00383DCB"/>
    <w:rsid w:val="003848B7"/>
    <w:rsid w:val="00384BAD"/>
    <w:rsid w:val="00384CF1"/>
    <w:rsid w:val="00384FC8"/>
    <w:rsid w:val="0038693E"/>
    <w:rsid w:val="00387628"/>
    <w:rsid w:val="00387ECE"/>
    <w:rsid w:val="003902F5"/>
    <w:rsid w:val="0039138C"/>
    <w:rsid w:val="00391C9A"/>
    <w:rsid w:val="0039215F"/>
    <w:rsid w:val="00393EB1"/>
    <w:rsid w:val="00393F83"/>
    <w:rsid w:val="003954B9"/>
    <w:rsid w:val="00395684"/>
    <w:rsid w:val="00395EC6"/>
    <w:rsid w:val="00396592"/>
    <w:rsid w:val="00396A47"/>
    <w:rsid w:val="00396C0C"/>
    <w:rsid w:val="00397659"/>
    <w:rsid w:val="00397F83"/>
    <w:rsid w:val="003A0E0B"/>
    <w:rsid w:val="003A1A70"/>
    <w:rsid w:val="003A25AD"/>
    <w:rsid w:val="003A293C"/>
    <w:rsid w:val="003A298E"/>
    <w:rsid w:val="003A326F"/>
    <w:rsid w:val="003A3C49"/>
    <w:rsid w:val="003A4436"/>
    <w:rsid w:val="003A524B"/>
    <w:rsid w:val="003A5C7F"/>
    <w:rsid w:val="003A5EAB"/>
    <w:rsid w:val="003A661F"/>
    <w:rsid w:val="003A790D"/>
    <w:rsid w:val="003B02E3"/>
    <w:rsid w:val="003B2420"/>
    <w:rsid w:val="003B251E"/>
    <w:rsid w:val="003B2B73"/>
    <w:rsid w:val="003B4B48"/>
    <w:rsid w:val="003B6E6B"/>
    <w:rsid w:val="003B6F68"/>
    <w:rsid w:val="003B73FF"/>
    <w:rsid w:val="003B74EC"/>
    <w:rsid w:val="003B7A67"/>
    <w:rsid w:val="003C0077"/>
    <w:rsid w:val="003C02AF"/>
    <w:rsid w:val="003C0547"/>
    <w:rsid w:val="003C10AE"/>
    <w:rsid w:val="003C10D0"/>
    <w:rsid w:val="003C131C"/>
    <w:rsid w:val="003C17FC"/>
    <w:rsid w:val="003C1F3A"/>
    <w:rsid w:val="003C2C70"/>
    <w:rsid w:val="003C3936"/>
    <w:rsid w:val="003C4CF1"/>
    <w:rsid w:val="003C5CB2"/>
    <w:rsid w:val="003C642B"/>
    <w:rsid w:val="003C6E97"/>
    <w:rsid w:val="003C79D5"/>
    <w:rsid w:val="003C7F2D"/>
    <w:rsid w:val="003D04F9"/>
    <w:rsid w:val="003D0E33"/>
    <w:rsid w:val="003D219B"/>
    <w:rsid w:val="003D3625"/>
    <w:rsid w:val="003D3781"/>
    <w:rsid w:val="003D4522"/>
    <w:rsid w:val="003D508F"/>
    <w:rsid w:val="003D604D"/>
    <w:rsid w:val="003D6469"/>
    <w:rsid w:val="003D6506"/>
    <w:rsid w:val="003D66AC"/>
    <w:rsid w:val="003D6C88"/>
    <w:rsid w:val="003E0A82"/>
    <w:rsid w:val="003E0B8E"/>
    <w:rsid w:val="003E0D82"/>
    <w:rsid w:val="003E12C3"/>
    <w:rsid w:val="003E164A"/>
    <w:rsid w:val="003E16AD"/>
    <w:rsid w:val="003E1867"/>
    <w:rsid w:val="003E1A5E"/>
    <w:rsid w:val="003E1C52"/>
    <w:rsid w:val="003E2E37"/>
    <w:rsid w:val="003E3CC5"/>
    <w:rsid w:val="003E4CA8"/>
    <w:rsid w:val="003E4E62"/>
    <w:rsid w:val="003E55A5"/>
    <w:rsid w:val="003E5CD2"/>
    <w:rsid w:val="003E628D"/>
    <w:rsid w:val="003E6F0B"/>
    <w:rsid w:val="003E7656"/>
    <w:rsid w:val="003E7BCD"/>
    <w:rsid w:val="003F0135"/>
    <w:rsid w:val="003F05A7"/>
    <w:rsid w:val="003F0A48"/>
    <w:rsid w:val="003F0C01"/>
    <w:rsid w:val="003F240C"/>
    <w:rsid w:val="003F54AD"/>
    <w:rsid w:val="003F5B19"/>
    <w:rsid w:val="003F5F08"/>
    <w:rsid w:val="003F717A"/>
    <w:rsid w:val="003F7280"/>
    <w:rsid w:val="00401398"/>
    <w:rsid w:val="00401B66"/>
    <w:rsid w:val="00402B9E"/>
    <w:rsid w:val="00402BF0"/>
    <w:rsid w:val="00403933"/>
    <w:rsid w:val="00403C79"/>
    <w:rsid w:val="004040BD"/>
    <w:rsid w:val="00405CC2"/>
    <w:rsid w:val="0040715A"/>
    <w:rsid w:val="00407B6C"/>
    <w:rsid w:val="00410117"/>
    <w:rsid w:val="0041097D"/>
    <w:rsid w:val="00410AD4"/>
    <w:rsid w:val="004114EA"/>
    <w:rsid w:val="004116AD"/>
    <w:rsid w:val="00411966"/>
    <w:rsid w:val="00411A7A"/>
    <w:rsid w:val="00411D29"/>
    <w:rsid w:val="004120CD"/>
    <w:rsid w:val="00412CAD"/>
    <w:rsid w:val="004131E4"/>
    <w:rsid w:val="0041405C"/>
    <w:rsid w:val="0041425D"/>
    <w:rsid w:val="004145C4"/>
    <w:rsid w:val="00415496"/>
    <w:rsid w:val="00415842"/>
    <w:rsid w:val="00420808"/>
    <w:rsid w:val="00420EF9"/>
    <w:rsid w:val="004211AB"/>
    <w:rsid w:val="00421526"/>
    <w:rsid w:val="00421608"/>
    <w:rsid w:val="004216BE"/>
    <w:rsid w:val="004231AF"/>
    <w:rsid w:val="00423336"/>
    <w:rsid w:val="00423C3E"/>
    <w:rsid w:val="00424045"/>
    <w:rsid w:val="004244C9"/>
    <w:rsid w:val="00424C5C"/>
    <w:rsid w:val="00424F58"/>
    <w:rsid w:val="004251DE"/>
    <w:rsid w:val="004257CD"/>
    <w:rsid w:val="00427895"/>
    <w:rsid w:val="00427C5C"/>
    <w:rsid w:val="00427DC4"/>
    <w:rsid w:val="004300DE"/>
    <w:rsid w:val="00436620"/>
    <w:rsid w:val="00440149"/>
    <w:rsid w:val="00440284"/>
    <w:rsid w:val="004402AB"/>
    <w:rsid w:val="00440456"/>
    <w:rsid w:val="004407A2"/>
    <w:rsid w:val="00441DF0"/>
    <w:rsid w:val="00445080"/>
    <w:rsid w:val="004451EA"/>
    <w:rsid w:val="00445951"/>
    <w:rsid w:val="00445A10"/>
    <w:rsid w:val="0044730D"/>
    <w:rsid w:val="00450776"/>
    <w:rsid w:val="004507BD"/>
    <w:rsid w:val="004521EF"/>
    <w:rsid w:val="00452837"/>
    <w:rsid w:val="00452A37"/>
    <w:rsid w:val="00452E0D"/>
    <w:rsid w:val="00454018"/>
    <w:rsid w:val="00454A58"/>
    <w:rsid w:val="00455C1C"/>
    <w:rsid w:val="00455FF0"/>
    <w:rsid w:val="00456CA5"/>
    <w:rsid w:val="00457743"/>
    <w:rsid w:val="00457CC2"/>
    <w:rsid w:val="00460F31"/>
    <w:rsid w:val="00461C09"/>
    <w:rsid w:val="004620D3"/>
    <w:rsid w:val="0046331C"/>
    <w:rsid w:val="0046357B"/>
    <w:rsid w:val="00464E5A"/>
    <w:rsid w:val="004666A0"/>
    <w:rsid w:val="00466789"/>
    <w:rsid w:val="0047104D"/>
    <w:rsid w:val="0047113D"/>
    <w:rsid w:val="00471732"/>
    <w:rsid w:val="004718DD"/>
    <w:rsid w:val="00471C56"/>
    <w:rsid w:val="00473ACE"/>
    <w:rsid w:val="00473C93"/>
    <w:rsid w:val="00475602"/>
    <w:rsid w:val="00475897"/>
    <w:rsid w:val="00476047"/>
    <w:rsid w:val="00476124"/>
    <w:rsid w:val="00477D39"/>
    <w:rsid w:val="00480153"/>
    <w:rsid w:val="004804A6"/>
    <w:rsid w:val="004807A9"/>
    <w:rsid w:val="00480BA8"/>
    <w:rsid w:val="00482AE6"/>
    <w:rsid w:val="00483C23"/>
    <w:rsid w:val="00484B77"/>
    <w:rsid w:val="00486EEC"/>
    <w:rsid w:val="00487E51"/>
    <w:rsid w:val="00491ACD"/>
    <w:rsid w:val="00491E0D"/>
    <w:rsid w:val="00492A60"/>
    <w:rsid w:val="00492F85"/>
    <w:rsid w:val="00492FA3"/>
    <w:rsid w:val="00493ED3"/>
    <w:rsid w:val="00494514"/>
    <w:rsid w:val="0049496C"/>
    <w:rsid w:val="00494C39"/>
    <w:rsid w:val="00494F9E"/>
    <w:rsid w:val="0049554F"/>
    <w:rsid w:val="00495AFE"/>
    <w:rsid w:val="00495F33"/>
    <w:rsid w:val="004975A5"/>
    <w:rsid w:val="00497F74"/>
    <w:rsid w:val="004A03E6"/>
    <w:rsid w:val="004A11AD"/>
    <w:rsid w:val="004A1862"/>
    <w:rsid w:val="004A2037"/>
    <w:rsid w:val="004A2552"/>
    <w:rsid w:val="004A297C"/>
    <w:rsid w:val="004A40C7"/>
    <w:rsid w:val="004A59C0"/>
    <w:rsid w:val="004B013B"/>
    <w:rsid w:val="004B066C"/>
    <w:rsid w:val="004B0D38"/>
    <w:rsid w:val="004B100F"/>
    <w:rsid w:val="004B15B1"/>
    <w:rsid w:val="004B2BDE"/>
    <w:rsid w:val="004B38D5"/>
    <w:rsid w:val="004B42F0"/>
    <w:rsid w:val="004B4C4D"/>
    <w:rsid w:val="004B54DA"/>
    <w:rsid w:val="004B65CA"/>
    <w:rsid w:val="004B67BE"/>
    <w:rsid w:val="004B6E9A"/>
    <w:rsid w:val="004B6EB3"/>
    <w:rsid w:val="004B7305"/>
    <w:rsid w:val="004B7636"/>
    <w:rsid w:val="004B7CAF"/>
    <w:rsid w:val="004C03B9"/>
    <w:rsid w:val="004C0DE2"/>
    <w:rsid w:val="004C2146"/>
    <w:rsid w:val="004C288E"/>
    <w:rsid w:val="004C62E0"/>
    <w:rsid w:val="004C6636"/>
    <w:rsid w:val="004C6CEB"/>
    <w:rsid w:val="004C7315"/>
    <w:rsid w:val="004C78FA"/>
    <w:rsid w:val="004D0BF0"/>
    <w:rsid w:val="004D0D4A"/>
    <w:rsid w:val="004D1A7C"/>
    <w:rsid w:val="004D2928"/>
    <w:rsid w:val="004D2F6E"/>
    <w:rsid w:val="004D361D"/>
    <w:rsid w:val="004D49A9"/>
    <w:rsid w:val="004D5A9B"/>
    <w:rsid w:val="004D6E89"/>
    <w:rsid w:val="004D7DE0"/>
    <w:rsid w:val="004E0B14"/>
    <w:rsid w:val="004E0F63"/>
    <w:rsid w:val="004E1187"/>
    <w:rsid w:val="004E17D1"/>
    <w:rsid w:val="004E18F6"/>
    <w:rsid w:val="004E513F"/>
    <w:rsid w:val="004E5DAB"/>
    <w:rsid w:val="004E5FF7"/>
    <w:rsid w:val="004E6420"/>
    <w:rsid w:val="004E7B58"/>
    <w:rsid w:val="004EFF1A"/>
    <w:rsid w:val="004F0A1E"/>
    <w:rsid w:val="004F0D50"/>
    <w:rsid w:val="004F10B0"/>
    <w:rsid w:val="004F267F"/>
    <w:rsid w:val="004F45B0"/>
    <w:rsid w:val="004F4FF8"/>
    <w:rsid w:val="004F5AFE"/>
    <w:rsid w:val="004F7DA8"/>
    <w:rsid w:val="00502AD2"/>
    <w:rsid w:val="00502F16"/>
    <w:rsid w:val="00503A12"/>
    <w:rsid w:val="00503E0C"/>
    <w:rsid w:val="00505707"/>
    <w:rsid w:val="005059A7"/>
    <w:rsid w:val="00505A3A"/>
    <w:rsid w:val="00505AF8"/>
    <w:rsid w:val="00505CD7"/>
    <w:rsid w:val="005061AB"/>
    <w:rsid w:val="0050683D"/>
    <w:rsid w:val="00507575"/>
    <w:rsid w:val="00507CA4"/>
    <w:rsid w:val="005123E6"/>
    <w:rsid w:val="00513CD4"/>
    <w:rsid w:val="00513F5A"/>
    <w:rsid w:val="005154EA"/>
    <w:rsid w:val="0051632F"/>
    <w:rsid w:val="00517004"/>
    <w:rsid w:val="005207FC"/>
    <w:rsid w:val="005210A4"/>
    <w:rsid w:val="0052318D"/>
    <w:rsid w:val="00523645"/>
    <w:rsid w:val="00524B7D"/>
    <w:rsid w:val="00525D1F"/>
    <w:rsid w:val="00526361"/>
    <w:rsid w:val="00526EBE"/>
    <w:rsid w:val="00527098"/>
    <w:rsid w:val="0052721F"/>
    <w:rsid w:val="00527BD8"/>
    <w:rsid w:val="00530A81"/>
    <w:rsid w:val="00530C7E"/>
    <w:rsid w:val="00531846"/>
    <w:rsid w:val="0053209C"/>
    <w:rsid w:val="0053486C"/>
    <w:rsid w:val="00535506"/>
    <w:rsid w:val="005409A9"/>
    <w:rsid w:val="00540DA1"/>
    <w:rsid w:val="00541223"/>
    <w:rsid w:val="00542C5F"/>
    <w:rsid w:val="00542C9E"/>
    <w:rsid w:val="005438A4"/>
    <w:rsid w:val="00543911"/>
    <w:rsid w:val="00543C86"/>
    <w:rsid w:val="00543D9D"/>
    <w:rsid w:val="00544011"/>
    <w:rsid w:val="0054470D"/>
    <w:rsid w:val="00544BBC"/>
    <w:rsid w:val="00544C1D"/>
    <w:rsid w:val="005452A6"/>
    <w:rsid w:val="00546257"/>
    <w:rsid w:val="00547803"/>
    <w:rsid w:val="00547953"/>
    <w:rsid w:val="00550E86"/>
    <w:rsid w:val="005511A0"/>
    <w:rsid w:val="00552B6F"/>
    <w:rsid w:val="00553157"/>
    <w:rsid w:val="0055318A"/>
    <w:rsid w:val="00553727"/>
    <w:rsid w:val="00554745"/>
    <w:rsid w:val="0055498F"/>
    <w:rsid w:val="00555873"/>
    <w:rsid w:val="005602A3"/>
    <w:rsid w:val="00560ED1"/>
    <w:rsid w:val="00561E4D"/>
    <w:rsid w:val="005621F4"/>
    <w:rsid w:val="0056244C"/>
    <w:rsid w:val="00562499"/>
    <w:rsid w:val="005624EE"/>
    <w:rsid w:val="0056296C"/>
    <w:rsid w:val="00562B91"/>
    <w:rsid w:val="00562FEF"/>
    <w:rsid w:val="005638F7"/>
    <w:rsid w:val="005646C4"/>
    <w:rsid w:val="00565F48"/>
    <w:rsid w:val="005666F1"/>
    <w:rsid w:val="00566DDF"/>
    <w:rsid w:val="00570486"/>
    <w:rsid w:val="00571BDC"/>
    <w:rsid w:val="005728E1"/>
    <w:rsid w:val="00572D05"/>
    <w:rsid w:val="0057423A"/>
    <w:rsid w:val="005742DE"/>
    <w:rsid w:val="005747BD"/>
    <w:rsid w:val="00575317"/>
    <w:rsid w:val="00576947"/>
    <w:rsid w:val="00577837"/>
    <w:rsid w:val="00577EC9"/>
    <w:rsid w:val="00580917"/>
    <w:rsid w:val="0058207B"/>
    <w:rsid w:val="005822FC"/>
    <w:rsid w:val="00582347"/>
    <w:rsid w:val="0058248D"/>
    <w:rsid w:val="005849A6"/>
    <w:rsid w:val="00584BC3"/>
    <w:rsid w:val="00585300"/>
    <w:rsid w:val="005859E9"/>
    <w:rsid w:val="005861B3"/>
    <w:rsid w:val="005861D9"/>
    <w:rsid w:val="00586509"/>
    <w:rsid w:val="00586E1B"/>
    <w:rsid w:val="00586FE7"/>
    <w:rsid w:val="00587424"/>
    <w:rsid w:val="00587649"/>
    <w:rsid w:val="00590099"/>
    <w:rsid w:val="00591F18"/>
    <w:rsid w:val="00591F84"/>
    <w:rsid w:val="0059485F"/>
    <w:rsid w:val="00594DB3"/>
    <w:rsid w:val="005A00C3"/>
    <w:rsid w:val="005A0431"/>
    <w:rsid w:val="005A0FF3"/>
    <w:rsid w:val="005A1A61"/>
    <w:rsid w:val="005A1F86"/>
    <w:rsid w:val="005A397C"/>
    <w:rsid w:val="005A3AC6"/>
    <w:rsid w:val="005A65AB"/>
    <w:rsid w:val="005A6C9C"/>
    <w:rsid w:val="005A6D96"/>
    <w:rsid w:val="005A7D16"/>
    <w:rsid w:val="005B0364"/>
    <w:rsid w:val="005B1D82"/>
    <w:rsid w:val="005B33E9"/>
    <w:rsid w:val="005B4462"/>
    <w:rsid w:val="005B4C1B"/>
    <w:rsid w:val="005B58F3"/>
    <w:rsid w:val="005B7B02"/>
    <w:rsid w:val="005B7F7A"/>
    <w:rsid w:val="005C079A"/>
    <w:rsid w:val="005C0974"/>
    <w:rsid w:val="005C1EB7"/>
    <w:rsid w:val="005C287D"/>
    <w:rsid w:val="005C2DE6"/>
    <w:rsid w:val="005C2FE1"/>
    <w:rsid w:val="005C3FF8"/>
    <w:rsid w:val="005C47A6"/>
    <w:rsid w:val="005C4956"/>
    <w:rsid w:val="005C5A49"/>
    <w:rsid w:val="005C621F"/>
    <w:rsid w:val="005C6952"/>
    <w:rsid w:val="005C6CF6"/>
    <w:rsid w:val="005C70E0"/>
    <w:rsid w:val="005C7627"/>
    <w:rsid w:val="005C769E"/>
    <w:rsid w:val="005C772A"/>
    <w:rsid w:val="005C792C"/>
    <w:rsid w:val="005D1097"/>
    <w:rsid w:val="005D109B"/>
    <w:rsid w:val="005D3662"/>
    <w:rsid w:val="005D41ED"/>
    <w:rsid w:val="005D43AB"/>
    <w:rsid w:val="005D4AE7"/>
    <w:rsid w:val="005D5A78"/>
    <w:rsid w:val="005D695D"/>
    <w:rsid w:val="005E0095"/>
    <w:rsid w:val="005E127F"/>
    <w:rsid w:val="005E1E59"/>
    <w:rsid w:val="005E1FC6"/>
    <w:rsid w:val="005E210E"/>
    <w:rsid w:val="005E246F"/>
    <w:rsid w:val="005E3031"/>
    <w:rsid w:val="005E4785"/>
    <w:rsid w:val="005E4A75"/>
    <w:rsid w:val="005F0215"/>
    <w:rsid w:val="005F0789"/>
    <w:rsid w:val="005F1EFC"/>
    <w:rsid w:val="005F21E4"/>
    <w:rsid w:val="005F2AA5"/>
    <w:rsid w:val="005F2E46"/>
    <w:rsid w:val="005F304A"/>
    <w:rsid w:val="005F3851"/>
    <w:rsid w:val="005F4710"/>
    <w:rsid w:val="005F4C9C"/>
    <w:rsid w:val="005F5353"/>
    <w:rsid w:val="005F5EAE"/>
    <w:rsid w:val="005F63CF"/>
    <w:rsid w:val="005F63E1"/>
    <w:rsid w:val="005F6540"/>
    <w:rsid w:val="005F72A8"/>
    <w:rsid w:val="005F72C6"/>
    <w:rsid w:val="005F799B"/>
    <w:rsid w:val="005F7E39"/>
    <w:rsid w:val="006003E5"/>
    <w:rsid w:val="00600792"/>
    <w:rsid w:val="00602614"/>
    <w:rsid w:val="00602E35"/>
    <w:rsid w:val="00604908"/>
    <w:rsid w:val="00604DB0"/>
    <w:rsid w:val="006050FF"/>
    <w:rsid w:val="00605B64"/>
    <w:rsid w:val="00605DB8"/>
    <w:rsid w:val="00605E2B"/>
    <w:rsid w:val="006060E6"/>
    <w:rsid w:val="00606410"/>
    <w:rsid w:val="006071DC"/>
    <w:rsid w:val="00607994"/>
    <w:rsid w:val="00610273"/>
    <w:rsid w:val="0061097A"/>
    <w:rsid w:val="00611960"/>
    <w:rsid w:val="00612EC5"/>
    <w:rsid w:val="006144B2"/>
    <w:rsid w:val="00614B8E"/>
    <w:rsid w:val="00614E0B"/>
    <w:rsid w:val="00615140"/>
    <w:rsid w:val="00615632"/>
    <w:rsid w:val="006164B4"/>
    <w:rsid w:val="00616632"/>
    <w:rsid w:val="006169ED"/>
    <w:rsid w:val="00616EC1"/>
    <w:rsid w:val="00617244"/>
    <w:rsid w:val="006174EB"/>
    <w:rsid w:val="006176C6"/>
    <w:rsid w:val="00617E29"/>
    <w:rsid w:val="00620F52"/>
    <w:rsid w:val="006222CB"/>
    <w:rsid w:val="00622E25"/>
    <w:rsid w:val="00623234"/>
    <w:rsid w:val="006235FD"/>
    <w:rsid w:val="0062368C"/>
    <w:rsid w:val="00623930"/>
    <w:rsid w:val="0062431F"/>
    <w:rsid w:val="00624C93"/>
    <w:rsid w:val="00624EF9"/>
    <w:rsid w:val="00625325"/>
    <w:rsid w:val="00625C2E"/>
    <w:rsid w:val="00626B5B"/>
    <w:rsid w:val="00626C2E"/>
    <w:rsid w:val="00626C6A"/>
    <w:rsid w:val="00626E33"/>
    <w:rsid w:val="006304ED"/>
    <w:rsid w:val="00631022"/>
    <w:rsid w:val="00631C9C"/>
    <w:rsid w:val="00632361"/>
    <w:rsid w:val="006323B3"/>
    <w:rsid w:val="00632AE0"/>
    <w:rsid w:val="00632B36"/>
    <w:rsid w:val="0063452D"/>
    <w:rsid w:val="0063455D"/>
    <w:rsid w:val="00634B3E"/>
    <w:rsid w:val="00636A4A"/>
    <w:rsid w:val="00637231"/>
    <w:rsid w:val="006373E6"/>
    <w:rsid w:val="006430B7"/>
    <w:rsid w:val="0064580D"/>
    <w:rsid w:val="00645835"/>
    <w:rsid w:val="00647059"/>
    <w:rsid w:val="00647E5A"/>
    <w:rsid w:val="0065170A"/>
    <w:rsid w:val="00651E1B"/>
    <w:rsid w:val="006526C1"/>
    <w:rsid w:val="0065391B"/>
    <w:rsid w:val="00653AB1"/>
    <w:rsid w:val="00653ACC"/>
    <w:rsid w:val="00654775"/>
    <w:rsid w:val="0065541C"/>
    <w:rsid w:val="006555AC"/>
    <w:rsid w:val="006558ED"/>
    <w:rsid w:val="006563B1"/>
    <w:rsid w:val="006570D0"/>
    <w:rsid w:val="00657122"/>
    <w:rsid w:val="0065719A"/>
    <w:rsid w:val="00657FE1"/>
    <w:rsid w:val="006603D6"/>
    <w:rsid w:val="00660DA6"/>
    <w:rsid w:val="00661AE4"/>
    <w:rsid w:val="0066224F"/>
    <w:rsid w:val="00662F0B"/>
    <w:rsid w:val="00663550"/>
    <w:rsid w:val="006653C4"/>
    <w:rsid w:val="00665DD4"/>
    <w:rsid w:val="006662C6"/>
    <w:rsid w:val="00666468"/>
    <w:rsid w:val="00667145"/>
    <w:rsid w:val="00671A6A"/>
    <w:rsid w:val="0067236A"/>
    <w:rsid w:val="006726A9"/>
    <w:rsid w:val="00673281"/>
    <w:rsid w:val="00673ACC"/>
    <w:rsid w:val="00675D0E"/>
    <w:rsid w:val="00677B28"/>
    <w:rsid w:val="00677F99"/>
    <w:rsid w:val="00681A30"/>
    <w:rsid w:val="0068386C"/>
    <w:rsid w:val="00683A61"/>
    <w:rsid w:val="006844AF"/>
    <w:rsid w:val="00685048"/>
    <w:rsid w:val="006853DD"/>
    <w:rsid w:val="00685598"/>
    <w:rsid w:val="00685EEC"/>
    <w:rsid w:val="006866C6"/>
    <w:rsid w:val="006866C9"/>
    <w:rsid w:val="00687121"/>
    <w:rsid w:val="006873BA"/>
    <w:rsid w:val="00687AF9"/>
    <w:rsid w:val="00687D91"/>
    <w:rsid w:val="00690462"/>
    <w:rsid w:val="00690493"/>
    <w:rsid w:val="00690988"/>
    <w:rsid w:val="00690DA6"/>
    <w:rsid w:val="006919F7"/>
    <w:rsid w:val="00691F2E"/>
    <w:rsid w:val="00691FDC"/>
    <w:rsid w:val="0069222B"/>
    <w:rsid w:val="006922AD"/>
    <w:rsid w:val="006932DC"/>
    <w:rsid w:val="00693B85"/>
    <w:rsid w:val="00693D36"/>
    <w:rsid w:val="00693EB2"/>
    <w:rsid w:val="00693F65"/>
    <w:rsid w:val="006957AA"/>
    <w:rsid w:val="006959B7"/>
    <w:rsid w:val="00695B15"/>
    <w:rsid w:val="0069645D"/>
    <w:rsid w:val="00696A57"/>
    <w:rsid w:val="0069700B"/>
    <w:rsid w:val="006A0A95"/>
    <w:rsid w:val="006A0E70"/>
    <w:rsid w:val="006A214A"/>
    <w:rsid w:val="006A21AE"/>
    <w:rsid w:val="006A2B06"/>
    <w:rsid w:val="006A34A3"/>
    <w:rsid w:val="006A3FF7"/>
    <w:rsid w:val="006A42D1"/>
    <w:rsid w:val="006A432C"/>
    <w:rsid w:val="006A4D88"/>
    <w:rsid w:val="006A59B9"/>
    <w:rsid w:val="006A6908"/>
    <w:rsid w:val="006A7046"/>
    <w:rsid w:val="006B09C0"/>
    <w:rsid w:val="006B1123"/>
    <w:rsid w:val="006B2096"/>
    <w:rsid w:val="006B3589"/>
    <w:rsid w:val="006B3D9D"/>
    <w:rsid w:val="006B4384"/>
    <w:rsid w:val="006B44AA"/>
    <w:rsid w:val="006B45C5"/>
    <w:rsid w:val="006B5BDA"/>
    <w:rsid w:val="006B5CEB"/>
    <w:rsid w:val="006B685D"/>
    <w:rsid w:val="006B74DB"/>
    <w:rsid w:val="006B7DAF"/>
    <w:rsid w:val="006B7F4D"/>
    <w:rsid w:val="006B9CAF"/>
    <w:rsid w:val="006C0237"/>
    <w:rsid w:val="006C231C"/>
    <w:rsid w:val="006C252B"/>
    <w:rsid w:val="006C2A28"/>
    <w:rsid w:val="006C31FC"/>
    <w:rsid w:val="006C3AB8"/>
    <w:rsid w:val="006C3E00"/>
    <w:rsid w:val="006C47D6"/>
    <w:rsid w:val="006C48ED"/>
    <w:rsid w:val="006C4F00"/>
    <w:rsid w:val="006C4F11"/>
    <w:rsid w:val="006C55CD"/>
    <w:rsid w:val="006C5D75"/>
    <w:rsid w:val="006C6D50"/>
    <w:rsid w:val="006C712E"/>
    <w:rsid w:val="006C79FE"/>
    <w:rsid w:val="006C7F1A"/>
    <w:rsid w:val="006C7FF3"/>
    <w:rsid w:val="006D017B"/>
    <w:rsid w:val="006D1748"/>
    <w:rsid w:val="006D37FA"/>
    <w:rsid w:val="006D596D"/>
    <w:rsid w:val="006D5C46"/>
    <w:rsid w:val="006D6352"/>
    <w:rsid w:val="006D67D2"/>
    <w:rsid w:val="006D6A00"/>
    <w:rsid w:val="006D7563"/>
    <w:rsid w:val="006D7EAC"/>
    <w:rsid w:val="006E08B5"/>
    <w:rsid w:val="006E1B15"/>
    <w:rsid w:val="006E1CFF"/>
    <w:rsid w:val="006E26B1"/>
    <w:rsid w:val="006E4CA3"/>
    <w:rsid w:val="006E5053"/>
    <w:rsid w:val="006E5061"/>
    <w:rsid w:val="006E519A"/>
    <w:rsid w:val="006E65DD"/>
    <w:rsid w:val="006E7AF0"/>
    <w:rsid w:val="006E7DD3"/>
    <w:rsid w:val="006E7E78"/>
    <w:rsid w:val="006F0121"/>
    <w:rsid w:val="006F013E"/>
    <w:rsid w:val="006F106A"/>
    <w:rsid w:val="006F119B"/>
    <w:rsid w:val="006F1718"/>
    <w:rsid w:val="006F1A5B"/>
    <w:rsid w:val="006F219E"/>
    <w:rsid w:val="006F2CFE"/>
    <w:rsid w:val="006F2EE1"/>
    <w:rsid w:val="006F32C8"/>
    <w:rsid w:val="006F3F05"/>
    <w:rsid w:val="006F489D"/>
    <w:rsid w:val="006F4BF9"/>
    <w:rsid w:val="006F5268"/>
    <w:rsid w:val="006F5907"/>
    <w:rsid w:val="006F6B39"/>
    <w:rsid w:val="006F7842"/>
    <w:rsid w:val="007001D5"/>
    <w:rsid w:val="00700DF3"/>
    <w:rsid w:val="00700FD8"/>
    <w:rsid w:val="007010E4"/>
    <w:rsid w:val="007014EE"/>
    <w:rsid w:val="007015A7"/>
    <w:rsid w:val="007018A9"/>
    <w:rsid w:val="00701C44"/>
    <w:rsid w:val="00701D14"/>
    <w:rsid w:val="00702ED8"/>
    <w:rsid w:val="00702F2D"/>
    <w:rsid w:val="007030A0"/>
    <w:rsid w:val="00704288"/>
    <w:rsid w:val="00704C0F"/>
    <w:rsid w:val="007059D5"/>
    <w:rsid w:val="00706146"/>
    <w:rsid w:val="00706678"/>
    <w:rsid w:val="00706D73"/>
    <w:rsid w:val="00707D28"/>
    <w:rsid w:val="0071052F"/>
    <w:rsid w:val="007108CA"/>
    <w:rsid w:val="00710BE4"/>
    <w:rsid w:val="00710C06"/>
    <w:rsid w:val="00711336"/>
    <w:rsid w:val="007115D9"/>
    <w:rsid w:val="00711D3A"/>
    <w:rsid w:val="007137CF"/>
    <w:rsid w:val="00713C3E"/>
    <w:rsid w:val="007142BD"/>
    <w:rsid w:val="00714833"/>
    <w:rsid w:val="00714F76"/>
    <w:rsid w:val="007162B9"/>
    <w:rsid w:val="00716A47"/>
    <w:rsid w:val="00716A49"/>
    <w:rsid w:val="00716B2F"/>
    <w:rsid w:val="00716DF0"/>
    <w:rsid w:val="00716E38"/>
    <w:rsid w:val="00717A1B"/>
    <w:rsid w:val="00717D5C"/>
    <w:rsid w:val="0072016A"/>
    <w:rsid w:val="007203CC"/>
    <w:rsid w:val="00721E17"/>
    <w:rsid w:val="007223EE"/>
    <w:rsid w:val="0072244E"/>
    <w:rsid w:val="00722586"/>
    <w:rsid w:val="00722B82"/>
    <w:rsid w:val="0072322B"/>
    <w:rsid w:val="007241FB"/>
    <w:rsid w:val="00724996"/>
    <w:rsid w:val="00724B1A"/>
    <w:rsid w:val="00724CFA"/>
    <w:rsid w:val="00727CB7"/>
    <w:rsid w:val="007304C4"/>
    <w:rsid w:val="00731E07"/>
    <w:rsid w:val="00732310"/>
    <w:rsid w:val="007337A7"/>
    <w:rsid w:val="00733FB3"/>
    <w:rsid w:val="00735394"/>
    <w:rsid w:val="00736DBB"/>
    <w:rsid w:val="00737C2F"/>
    <w:rsid w:val="007405F9"/>
    <w:rsid w:val="00743312"/>
    <w:rsid w:val="00743D18"/>
    <w:rsid w:val="00743EB4"/>
    <w:rsid w:val="007446CD"/>
    <w:rsid w:val="00744E39"/>
    <w:rsid w:val="00745161"/>
    <w:rsid w:val="00745656"/>
    <w:rsid w:val="007457FC"/>
    <w:rsid w:val="007464C9"/>
    <w:rsid w:val="007509F2"/>
    <w:rsid w:val="00750BBE"/>
    <w:rsid w:val="00751070"/>
    <w:rsid w:val="00751169"/>
    <w:rsid w:val="00751C6B"/>
    <w:rsid w:val="007530DA"/>
    <w:rsid w:val="00753328"/>
    <w:rsid w:val="00753377"/>
    <w:rsid w:val="007538D4"/>
    <w:rsid w:val="00754BF5"/>
    <w:rsid w:val="00756602"/>
    <w:rsid w:val="0075708B"/>
    <w:rsid w:val="00757880"/>
    <w:rsid w:val="0075793E"/>
    <w:rsid w:val="00757F2F"/>
    <w:rsid w:val="0076012D"/>
    <w:rsid w:val="0076124B"/>
    <w:rsid w:val="00761480"/>
    <w:rsid w:val="00762B3D"/>
    <w:rsid w:val="00763169"/>
    <w:rsid w:val="00763DA9"/>
    <w:rsid w:val="007641AA"/>
    <w:rsid w:val="00764E24"/>
    <w:rsid w:val="00765563"/>
    <w:rsid w:val="00765DD5"/>
    <w:rsid w:val="007663E1"/>
    <w:rsid w:val="007678DB"/>
    <w:rsid w:val="00767E67"/>
    <w:rsid w:val="007700E1"/>
    <w:rsid w:val="007702A5"/>
    <w:rsid w:val="00770CF0"/>
    <w:rsid w:val="00770DF2"/>
    <w:rsid w:val="00771276"/>
    <w:rsid w:val="00773161"/>
    <w:rsid w:val="0077362F"/>
    <w:rsid w:val="00773973"/>
    <w:rsid w:val="007747DD"/>
    <w:rsid w:val="00775730"/>
    <w:rsid w:val="007760CA"/>
    <w:rsid w:val="00776A12"/>
    <w:rsid w:val="0077773B"/>
    <w:rsid w:val="007809FE"/>
    <w:rsid w:val="00781850"/>
    <w:rsid w:val="007826FD"/>
    <w:rsid w:val="00784077"/>
    <w:rsid w:val="007841BD"/>
    <w:rsid w:val="00784A0D"/>
    <w:rsid w:val="0078569D"/>
    <w:rsid w:val="007857A3"/>
    <w:rsid w:val="007861C9"/>
    <w:rsid w:val="007872C7"/>
    <w:rsid w:val="007902E8"/>
    <w:rsid w:val="00790450"/>
    <w:rsid w:val="00790956"/>
    <w:rsid w:val="007915DB"/>
    <w:rsid w:val="0079185E"/>
    <w:rsid w:val="007936F4"/>
    <w:rsid w:val="00794FDB"/>
    <w:rsid w:val="007963E7"/>
    <w:rsid w:val="00796F32"/>
    <w:rsid w:val="00797D37"/>
    <w:rsid w:val="007A1B30"/>
    <w:rsid w:val="007A1BC6"/>
    <w:rsid w:val="007A224E"/>
    <w:rsid w:val="007A344F"/>
    <w:rsid w:val="007A35AF"/>
    <w:rsid w:val="007A3F74"/>
    <w:rsid w:val="007A4982"/>
    <w:rsid w:val="007A4B70"/>
    <w:rsid w:val="007A4FEF"/>
    <w:rsid w:val="007A50DE"/>
    <w:rsid w:val="007A51FC"/>
    <w:rsid w:val="007A5793"/>
    <w:rsid w:val="007A5A72"/>
    <w:rsid w:val="007A5C4C"/>
    <w:rsid w:val="007A61C8"/>
    <w:rsid w:val="007A69DB"/>
    <w:rsid w:val="007A77E9"/>
    <w:rsid w:val="007B0FAC"/>
    <w:rsid w:val="007B16C7"/>
    <w:rsid w:val="007B1BA7"/>
    <w:rsid w:val="007B1D53"/>
    <w:rsid w:val="007B1FEE"/>
    <w:rsid w:val="007B30BF"/>
    <w:rsid w:val="007B32E2"/>
    <w:rsid w:val="007B405E"/>
    <w:rsid w:val="007B48EF"/>
    <w:rsid w:val="007B4AB4"/>
    <w:rsid w:val="007B5A00"/>
    <w:rsid w:val="007B69CE"/>
    <w:rsid w:val="007C0CD2"/>
    <w:rsid w:val="007C188C"/>
    <w:rsid w:val="007C1DEB"/>
    <w:rsid w:val="007C30AE"/>
    <w:rsid w:val="007C439E"/>
    <w:rsid w:val="007C46FE"/>
    <w:rsid w:val="007C4E4F"/>
    <w:rsid w:val="007C5163"/>
    <w:rsid w:val="007C52D5"/>
    <w:rsid w:val="007C5A4A"/>
    <w:rsid w:val="007C68A3"/>
    <w:rsid w:val="007C6B7A"/>
    <w:rsid w:val="007C6D42"/>
    <w:rsid w:val="007D017B"/>
    <w:rsid w:val="007D07C1"/>
    <w:rsid w:val="007D0E6C"/>
    <w:rsid w:val="007D13A2"/>
    <w:rsid w:val="007D153A"/>
    <w:rsid w:val="007D2688"/>
    <w:rsid w:val="007D29E7"/>
    <w:rsid w:val="007D2CEC"/>
    <w:rsid w:val="007D2D48"/>
    <w:rsid w:val="007D3B4C"/>
    <w:rsid w:val="007D4381"/>
    <w:rsid w:val="007D4AFE"/>
    <w:rsid w:val="007D5DED"/>
    <w:rsid w:val="007D665C"/>
    <w:rsid w:val="007D674A"/>
    <w:rsid w:val="007D6AF0"/>
    <w:rsid w:val="007E1230"/>
    <w:rsid w:val="007E139F"/>
    <w:rsid w:val="007E1C14"/>
    <w:rsid w:val="007E2B3D"/>
    <w:rsid w:val="007E3F5B"/>
    <w:rsid w:val="007E5224"/>
    <w:rsid w:val="007E5F48"/>
    <w:rsid w:val="007E6B1A"/>
    <w:rsid w:val="007E7618"/>
    <w:rsid w:val="007E77CB"/>
    <w:rsid w:val="007F21DC"/>
    <w:rsid w:val="007F23FF"/>
    <w:rsid w:val="007F3199"/>
    <w:rsid w:val="007F3657"/>
    <w:rsid w:val="007F3722"/>
    <w:rsid w:val="007F3F61"/>
    <w:rsid w:val="007F43F6"/>
    <w:rsid w:val="007F4844"/>
    <w:rsid w:val="007F4954"/>
    <w:rsid w:val="007F4AF0"/>
    <w:rsid w:val="007F5094"/>
    <w:rsid w:val="007F60B4"/>
    <w:rsid w:val="007F61A9"/>
    <w:rsid w:val="007F69D8"/>
    <w:rsid w:val="007F795C"/>
    <w:rsid w:val="007F7CA5"/>
    <w:rsid w:val="007F7CC9"/>
    <w:rsid w:val="007F7ECC"/>
    <w:rsid w:val="0080078C"/>
    <w:rsid w:val="008009EF"/>
    <w:rsid w:val="00800DD9"/>
    <w:rsid w:val="00801147"/>
    <w:rsid w:val="00802549"/>
    <w:rsid w:val="00802FBB"/>
    <w:rsid w:val="00804BED"/>
    <w:rsid w:val="00804E1A"/>
    <w:rsid w:val="00804EAF"/>
    <w:rsid w:val="0080780E"/>
    <w:rsid w:val="00807E41"/>
    <w:rsid w:val="0081054E"/>
    <w:rsid w:val="00811EB6"/>
    <w:rsid w:val="0081219E"/>
    <w:rsid w:val="0081249C"/>
    <w:rsid w:val="00813476"/>
    <w:rsid w:val="00813636"/>
    <w:rsid w:val="00813816"/>
    <w:rsid w:val="0081394F"/>
    <w:rsid w:val="00813F99"/>
    <w:rsid w:val="00814BAE"/>
    <w:rsid w:val="00814E70"/>
    <w:rsid w:val="0081726E"/>
    <w:rsid w:val="008203E1"/>
    <w:rsid w:val="00820952"/>
    <w:rsid w:val="00820A8E"/>
    <w:rsid w:val="00821AD9"/>
    <w:rsid w:val="0082354C"/>
    <w:rsid w:val="00823F0D"/>
    <w:rsid w:val="008248CE"/>
    <w:rsid w:val="00825653"/>
    <w:rsid w:val="00825AE5"/>
    <w:rsid w:val="008261C1"/>
    <w:rsid w:val="008264AF"/>
    <w:rsid w:val="008276C1"/>
    <w:rsid w:val="00827B6F"/>
    <w:rsid w:val="00827D3A"/>
    <w:rsid w:val="00827E83"/>
    <w:rsid w:val="008329E3"/>
    <w:rsid w:val="00832FB0"/>
    <w:rsid w:val="00833119"/>
    <w:rsid w:val="00833855"/>
    <w:rsid w:val="00833DCC"/>
    <w:rsid w:val="00834782"/>
    <w:rsid w:val="00836EF5"/>
    <w:rsid w:val="008370E3"/>
    <w:rsid w:val="00837672"/>
    <w:rsid w:val="00841016"/>
    <w:rsid w:val="00841298"/>
    <w:rsid w:val="00842783"/>
    <w:rsid w:val="008435CA"/>
    <w:rsid w:val="008439DC"/>
    <w:rsid w:val="0084400B"/>
    <w:rsid w:val="00844B4D"/>
    <w:rsid w:val="00845B12"/>
    <w:rsid w:val="0084607D"/>
    <w:rsid w:val="008466EA"/>
    <w:rsid w:val="00846D2B"/>
    <w:rsid w:val="00847A65"/>
    <w:rsid w:val="00850278"/>
    <w:rsid w:val="0085099F"/>
    <w:rsid w:val="00850F1F"/>
    <w:rsid w:val="0085329B"/>
    <w:rsid w:val="008549B8"/>
    <w:rsid w:val="0085507D"/>
    <w:rsid w:val="00856AE3"/>
    <w:rsid w:val="00856E78"/>
    <w:rsid w:val="00860828"/>
    <w:rsid w:val="00860B70"/>
    <w:rsid w:val="00860C77"/>
    <w:rsid w:val="00861830"/>
    <w:rsid w:val="0086254A"/>
    <w:rsid w:val="008625AE"/>
    <w:rsid w:val="00863D76"/>
    <w:rsid w:val="00864883"/>
    <w:rsid w:val="0086566B"/>
    <w:rsid w:val="00865C95"/>
    <w:rsid w:val="00865CC6"/>
    <w:rsid w:val="00865D50"/>
    <w:rsid w:val="00866D55"/>
    <w:rsid w:val="008679E7"/>
    <w:rsid w:val="0087123F"/>
    <w:rsid w:val="00874BE2"/>
    <w:rsid w:val="00875D2F"/>
    <w:rsid w:val="0087622B"/>
    <w:rsid w:val="0087705E"/>
    <w:rsid w:val="00877E0E"/>
    <w:rsid w:val="00881205"/>
    <w:rsid w:val="00881377"/>
    <w:rsid w:val="008823BD"/>
    <w:rsid w:val="00882CAD"/>
    <w:rsid w:val="00882D85"/>
    <w:rsid w:val="00882F5A"/>
    <w:rsid w:val="00883011"/>
    <w:rsid w:val="00883405"/>
    <w:rsid w:val="008864BE"/>
    <w:rsid w:val="00886C06"/>
    <w:rsid w:val="008878F4"/>
    <w:rsid w:val="00887BD6"/>
    <w:rsid w:val="0089025F"/>
    <w:rsid w:val="00892020"/>
    <w:rsid w:val="00892189"/>
    <w:rsid w:val="00892BAA"/>
    <w:rsid w:val="00892C0E"/>
    <w:rsid w:val="00892F94"/>
    <w:rsid w:val="00893915"/>
    <w:rsid w:val="00893F05"/>
    <w:rsid w:val="00893F35"/>
    <w:rsid w:val="008940B8"/>
    <w:rsid w:val="00894194"/>
    <w:rsid w:val="00894D32"/>
    <w:rsid w:val="00894E86"/>
    <w:rsid w:val="00895CEA"/>
    <w:rsid w:val="00896393"/>
    <w:rsid w:val="00896802"/>
    <w:rsid w:val="00896CF5"/>
    <w:rsid w:val="00896E1A"/>
    <w:rsid w:val="0089704E"/>
    <w:rsid w:val="008970BA"/>
    <w:rsid w:val="00897511"/>
    <w:rsid w:val="0089754D"/>
    <w:rsid w:val="00897DA5"/>
    <w:rsid w:val="008A00B8"/>
    <w:rsid w:val="008A0291"/>
    <w:rsid w:val="008A03DB"/>
    <w:rsid w:val="008A0D73"/>
    <w:rsid w:val="008A1A6F"/>
    <w:rsid w:val="008A1B62"/>
    <w:rsid w:val="008A1C6A"/>
    <w:rsid w:val="008A2864"/>
    <w:rsid w:val="008A34CC"/>
    <w:rsid w:val="008A38E3"/>
    <w:rsid w:val="008A3D21"/>
    <w:rsid w:val="008A4223"/>
    <w:rsid w:val="008A5A35"/>
    <w:rsid w:val="008A6898"/>
    <w:rsid w:val="008A6BB8"/>
    <w:rsid w:val="008A6C3A"/>
    <w:rsid w:val="008B0D73"/>
    <w:rsid w:val="008B11A5"/>
    <w:rsid w:val="008B35AF"/>
    <w:rsid w:val="008B4147"/>
    <w:rsid w:val="008B475A"/>
    <w:rsid w:val="008B570E"/>
    <w:rsid w:val="008B5E30"/>
    <w:rsid w:val="008B5E87"/>
    <w:rsid w:val="008B6B4F"/>
    <w:rsid w:val="008B72A4"/>
    <w:rsid w:val="008B7490"/>
    <w:rsid w:val="008B7AD3"/>
    <w:rsid w:val="008C0983"/>
    <w:rsid w:val="008C107B"/>
    <w:rsid w:val="008C1734"/>
    <w:rsid w:val="008C273B"/>
    <w:rsid w:val="008C28EF"/>
    <w:rsid w:val="008C3BB3"/>
    <w:rsid w:val="008C3C93"/>
    <w:rsid w:val="008C7322"/>
    <w:rsid w:val="008C7E51"/>
    <w:rsid w:val="008D088D"/>
    <w:rsid w:val="008D0C93"/>
    <w:rsid w:val="008D154C"/>
    <w:rsid w:val="008D1E8E"/>
    <w:rsid w:val="008D2C81"/>
    <w:rsid w:val="008D3491"/>
    <w:rsid w:val="008D4FAB"/>
    <w:rsid w:val="008D55AD"/>
    <w:rsid w:val="008D5798"/>
    <w:rsid w:val="008D6294"/>
    <w:rsid w:val="008D63C6"/>
    <w:rsid w:val="008D76DE"/>
    <w:rsid w:val="008D7C20"/>
    <w:rsid w:val="008E00B5"/>
    <w:rsid w:val="008E0931"/>
    <w:rsid w:val="008E0FF3"/>
    <w:rsid w:val="008E1435"/>
    <w:rsid w:val="008E15DF"/>
    <w:rsid w:val="008E31F6"/>
    <w:rsid w:val="008E4C36"/>
    <w:rsid w:val="008E4C61"/>
    <w:rsid w:val="008E5150"/>
    <w:rsid w:val="008E5947"/>
    <w:rsid w:val="008E5CB7"/>
    <w:rsid w:val="008E6180"/>
    <w:rsid w:val="008E6F73"/>
    <w:rsid w:val="008E716A"/>
    <w:rsid w:val="008F0B02"/>
    <w:rsid w:val="008F2090"/>
    <w:rsid w:val="008F26CB"/>
    <w:rsid w:val="008F31D5"/>
    <w:rsid w:val="008F329E"/>
    <w:rsid w:val="008F3AC3"/>
    <w:rsid w:val="008F4A52"/>
    <w:rsid w:val="008F4B72"/>
    <w:rsid w:val="008F4D55"/>
    <w:rsid w:val="008F4E97"/>
    <w:rsid w:val="008F517C"/>
    <w:rsid w:val="008F56D1"/>
    <w:rsid w:val="008F6802"/>
    <w:rsid w:val="0090183A"/>
    <w:rsid w:val="00901A61"/>
    <w:rsid w:val="009020AB"/>
    <w:rsid w:val="009021C8"/>
    <w:rsid w:val="00903D38"/>
    <w:rsid w:val="00904002"/>
    <w:rsid w:val="00904075"/>
    <w:rsid w:val="0090426B"/>
    <w:rsid w:val="0090459F"/>
    <w:rsid w:val="00904C87"/>
    <w:rsid w:val="00905326"/>
    <w:rsid w:val="00906885"/>
    <w:rsid w:val="00911E25"/>
    <w:rsid w:val="009126B9"/>
    <w:rsid w:val="00912AD1"/>
    <w:rsid w:val="009132B0"/>
    <w:rsid w:val="0091361C"/>
    <w:rsid w:val="00913C2A"/>
    <w:rsid w:val="0091411D"/>
    <w:rsid w:val="00914F61"/>
    <w:rsid w:val="009151F0"/>
    <w:rsid w:val="00916048"/>
    <w:rsid w:val="0091636A"/>
    <w:rsid w:val="009167EE"/>
    <w:rsid w:val="0091684F"/>
    <w:rsid w:val="009179FD"/>
    <w:rsid w:val="00917B57"/>
    <w:rsid w:val="00920961"/>
    <w:rsid w:val="00921954"/>
    <w:rsid w:val="00922532"/>
    <w:rsid w:val="00922C0B"/>
    <w:rsid w:val="00923535"/>
    <w:rsid w:val="0092357A"/>
    <w:rsid w:val="0092514A"/>
    <w:rsid w:val="00925332"/>
    <w:rsid w:val="00925CB5"/>
    <w:rsid w:val="00926031"/>
    <w:rsid w:val="00926426"/>
    <w:rsid w:val="00927831"/>
    <w:rsid w:val="0093041B"/>
    <w:rsid w:val="009309FD"/>
    <w:rsid w:val="0093153F"/>
    <w:rsid w:val="0093282E"/>
    <w:rsid w:val="00932F24"/>
    <w:rsid w:val="00933CC9"/>
    <w:rsid w:val="0093491D"/>
    <w:rsid w:val="0093497D"/>
    <w:rsid w:val="0093562B"/>
    <w:rsid w:val="009359F1"/>
    <w:rsid w:val="00935E3F"/>
    <w:rsid w:val="00936CC8"/>
    <w:rsid w:val="0093705C"/>
    <w:rsid w:val="00937A3B"/>
    <w:rsid w:val="00940120"/>
    <w:rsid w:val="0094067D"/>
    <w:rsid w:val="00940F5C"/>
    <w:rsid w:val="00941349"/>
    <w:rsid w:val="009417BA"/>
    <w:rsid w:val="00941C32"/>
    <w:rsid w:val="009421F0"/>
    <w:rsid w:val="009425CC"/>
    <w:rsid w:val="009435FA"/>
    <w:rsid w:val="00943B0C"/>
    <w:rsid w:val="00943C3E"/>
    <w:rsid w:val="0094651C"/>
    <w:rsid w:val="009466AA"/>
    <w:rsid w:val="00946F76"/>
    <w:rsid w:val="009470EE"/>
    <w:rsid w:val="0094725A"/>
    <w:rsid w:val="00947452"/>
    <w:rsid w:val="0095039C"/>
    <w:rsid w:val="00950BF9"/>
    <w:rsid w:val="009514FA"/>
    <w:rsid w:val="00953186"/>
    <w:rsid w:val="00953B48"/>
    <w:rsid w:val="0095413D"/>
    <w:rsid w:val="00954697"/>
    <w:rsid w:val="00954BFB"/>
    <w:rsid w:val="0095539A"/>
    <w:rsid w:val="00956543"/>
    <w:rsid w:val="009565D6"/>
    <w:rsid w:val="0095767B"/>
    <w:rsid w:val="00960B64"/>
    <w:rsid w:val="009611A5"/>
    <w:rsid w:val="0096168B"/>
    <w:rsid w:val="00962938"/>
    <w:rsid w:val="00962B0C"/>
    <w:rsid w:val="00963FB0"/>
    <w:rsid w:val="009647A6"/>
    <w:rsid w:val="009647A7"/>
    <w:rsid w:val="009664A9"/>
    <w:rsid w:val="00967615"/>
    <w:rsid w:val="009678BE"/>
    <w:rsid w:val="00967C6B"/>
    <w:rsid w:val="00967FED"/>
    <w:rsid w:val="00970269"/>
    <w:rsid w:val="0097043F"/>
    <w:rsid w:val="00972C3E"/>
    <w:rsid w:val="00972D7E"/>
    <w:rsid w:val="00972E2B"/>
    <w:rsid w:val="00972E63"/>
    <w:rsid w:val="00973194"/>
    <w:rsid w:val="00973628"/>
    <w:rsid w:val="00973DE1"/>
    <w:rsid w:val="00974026"/>
    <w:rsid w:val="00974584"/>
    <w:rsid w:val="00975658"/>
    <w:rsid w:val="009759CB"/>
    <w:rsid w:val="00975F2C"/>
    <w:rsid w:val="0097670B"/>
    <w:rsid w:val="00977ED9"/>
    <w:rsid w:val="0098012C"/>
    <w:rsid w:val="009827A2"/>
    <w:rsid w:val="00982F9E"/>
    <w:rsid w:val="00983206"/>
    <w:rsid w:val="00983415"/>
    <w:rsid w:val="009839F0"/>
    <w:rsid w:val="0098410D"/>
    <w:rsid w:val="00986D25"/>
    <w:rsid w:val="0098751F"/>
    <w:rsid w:val="009879D5"/>
    <w:rsid w:val="00987DFB"/>
    <w:rsid w:val="00990C35"/>
    <w:rsid w:val="00991583"/>
    <w:rsid w:val="009929E7"/>
    <w:rsid w:val="00994BC6"/>
    <w:rsid w:val="00994EE9"/>
    <w:rsid w:val="00995033"/>
    <w:rsid w:val="00995284"/>
    <w:rsid w:val="009965E2"/>
    <w:rsid w:val="009968E1"/>
    <w:rsid w:val="00996EBC"/>
    <w:rsid w:val="00996FFC"/>
    <w:rsid w:val="00997274"/>
    <w:rsid w:val="00997DD0"/>
    <w:rsid w:val="009A044C"/>
    <w:rsid w:val="009A07A1"/>
    <w:rsid w:val="009A0ACF"/>
    <w:rsid w:val="009A0C3E"/>
    <w:rsid w:val="009A0DF8"/>
    <w:rsid w:val="009A141A"/>
    <w:rsid w:val="009A1735"/>
    <w:rsid w:val="009A2A55"/>
    <w:rsid w:val="009A3361"/>
    <w:rsid w:val="009A4181"/>
    <w:rsid w:val="009A46D7"/>
    <w:rsid w:val="009A4B7E"/>
    <w:rsid w:val="009A4E47"/>
    <w:rsid w:val="009A6949"/>
    <w:rsid w:val="009A731B"/>
    <w:rsid w:val="009B06A2"/>
    <w:rsid w:val="009B10D8"/>
    <w:rsid w:val="009B1649"/>
    <w:rsid w:val="009B2F3D"/>
    <w:rsid w:val="009B34C8"/>
    <w:rsid w:val="009B3CF9"/>
    <w:rsid w:val="009B3E82"/>
    <w:rsid w:val="009B4312"/>
    <w:rsid w:val="009B4783"/>
    <w:rsid w:val="009B4B70"/>
    <w:rsid w:val="009B5321"/>
    <w:rsid w:val="009B5A36"/>
    <w:rsid w:val="009B5B9D"/>
    <w:rsid w:val="009B7161"/>
    <w:rsid w:val="009B74BB"/>
    <w:rsid w:val="009C090D"/>
    <w:rsid w:val="009C121D"/>
    <w:rsid w:val="009C1E1A"/>
    <w:rsid w:val="009C3EAB"/>
    <w:rsid w:val="009C4A64"/>
    <w:rsid w:val="009C572E"/>
    <w:rsid w:val="009C68F8"/>
    <w:rsid w:val="009C7FF7"/>
    <w:rsid w:val="009D089B"/>
    <w:rsid w:val="009D13BA"/>
    <w:rsid w:val="009D1664"/>
    <w:rsid w:val="009D2244"/>
    <w:rsid w:val="009D3E4B"/>
    <w:rsid w:val="009D4224"/>
    <w:rsid w:val="009D45E1"/>
    <w:rsid w:val="009D4CD2"/>
    <w:rsid w:val="009D5433"/>
    <w:rsid w:val="009D7B92"/>
    <w:rsid w:val="009E06EB"/>
    <w:rsid w:val="009E154D"/>
    <w:rsid w:val="009E19A6"/>
    <w:rsid w:val="009E1CAF"/>
    <w:rsid w:val="009E230F"/>
    <w:rsid w:val="009E2399"/>
    <w:rsid w:val="009E2C24"/>
    <w:rsid w:val="009E5197"/>
    <w:rsid w:val="009E5723"/>
    <w:rsid w:val="009E5EA4"/>
    <w:rsid w:val="009E638D"/>
    <w:rsid w:val="009E662E"/>
    <w:rsid w:val="009E6CDB"/>
    <w:rsid w:val="009E6FD1"/>
    <w:rsid w:val="009E6FFB"/>
    <w:rsid w:val="009E7424"/>
    <w:rsid w:val="009E7AF6"/>
    <w:rsid w:val="009F078B"/>
    <w:rsid w:val="009F26CF"/>
    <w:rsid w:val="009F2FD9"/>
    <w:rsid w:val="009F39C8"/>
    <w:rsid w:val="009F3FCC"/>
    <w:rsid w:val="009F4174"/>
    <w:rsid w:val="009F4703"/>
    <w:rsid w:val="009F5402"/>
    <w:rsid w:val="009F6E36"/>
    <w:rsid w:val="009F7922"/>
    <w:rsid w:val="00A0106C"/>
    <w:rsid w:val="00A0110A"/>
    <w:rsid w:val="00A01FCA"/>
    <w:rsid w:val="00A01FD5"/>
    <w:rsid w:val="00A0320A"/>
    <w:rsid w:val="00A0344A"/>
    <w:rsid w:val="00A035A1"/>
    <w:rsid w:val="00A03E05"/>
    <w:rsid w:val="00A05A7B"/>
    <w:rsid w:val="00A05DEF"/>
    <w:rsid w:val="00A06735"/>
    <w:rsid w:val="00A06996"/>
    <w:rsid w:val="00A07709"/>
    <w:rsid w:val="00A10EF6"/>
    <w:rsid w:val="00A11767"/>
    <w:rsid w:val="00A12370"/>
    <w:rsid w:val="00A12DD6"/>
    <w:rsid w:val="00A130C4"/>
    <w:rsid w:val="00A1326F"/>
    <w:rsid w:val="00A14129"/>
    <w:rsid w:val="00A14630"/>
    <w:rsid w:val="00A14C79"/>
    <w:rsid w:val="00A169AA"/>
    <w:rsid w:val="00A16F9C"/>
    <w:rsid w:val="00A178EB"/>
    <w:rsid w:val="00A17995"/>
    <w:rsid w:val="00A17B93"/>
    <w:rsid w:val="00A206A8"/>
    <w:rsid w:val="00A20A1F"/>
    <w:rsid w:val="00A2117D"/>
    <w:rsid w:val="00A218CD"/>
    <w:rsid w:val="00A21B2A"/>
    <w:rsid w:val="00A220C6"/>
    <w:rsid w:val="00A23328"/>
    <w:rsid w:val="00A23D53"/>
    <w:rsid w:val="00A2406C"/>
    <w:rsid w:val="00A24576"/>
    <w:rsid w:val="00A24806"/>
    <w:rsid w:val="00A24D50"/>
    <w:rsid w:val="00A2559D"/>
    <w:rsid w:val="00A25CAC"/>
    <w:rsid w:val="00A25FF6"/>
    <w:rsid w:val="00A277CD"/>
    <w:rsid w:val="00A328F5"/>
    <w:rsid w:val="00A32C56"/>
    <w:rsid w:val="00A32DCB"/>
    <w:rsid w:val="00A32E01"/>
    <w:rsid w:val="00A34C00"/>
    <w:rsid w:val="00A357FE"/>
    <w:rsid w:val="00A36046"/>
    <w:rsid w:val="00A367D5"/>
    <w:rsid w:val="00A37A14"/>
    <w:rsid w:val="00A4114D"/>
    <w:rsid w:val="00A41283"/>
    <w:rsid w:val="00A41988"/>
    <w:rsid w:val="00A41A90"/>
    <w:rsid w:val="00A4208D"/>
    <w:rsid w:val="00A4315A"/>
    <w:rsid w:val="00A43195"/>
    <w:rsid w:val="00A44ACA"/>
    <w:rsid w:val="00A46DBF"/>
    <w:rsid w:val="00A46E40"/>
    <w:rsid w:val="00A4731E"/>
    <w:rsid w:val="00A47717"/>
    <w:rsid w:val="00A47A8F"/>
    <w:rsid w:val="00A47F8D"/>
    <w:rsid w:val="00A510E5"/>
    <w:rsid w:val="00A5114F"/>
    <w:rsid w:val="00A51830"/>
    <w:rsid w:val="00A52891"/>
    <w:rsid w:val="00A529F0"/>
    <w:rsid w:val="00A538B2"/>
    <w:rsid w:val="00A539C1"/>
    <w:rsid w:val="00A53C44"/>
    <w:rsid w:val="00A54ED1"/>
    <w:rsid w:val="00A55175"/>
    <w:rsid w:val="00A55E37"/>
    <w:rsid w:val="00A5628E"/>
    <w:rsid w:val="00A563F5"/>
    <w:rsid w:val="00A60FB6"/>
    <w:rsid w:val="00A61323"/>
    <w:rsid w:val="00A61374"/>
    <w:rsid w:val="00A6404D"/>
    <w:rsid w:val="00A65A47"/>
    <w:rsid w:val="00A65AA4"/>
    <w:rsid w:val="00A664A4"/>
    <w:rsid w:val="00A66BA1"/>
    <w:rsid w:val="00A672BC"/>
    <w:rsid w:val="00A67661"/>
    <w:rsid w:val="00A678F8"/>
    <w:rsid w:val="00A67E55"/>
    <w:rsid w:val="00A67F3D"/>
    <w:rsid w:val="00A67F85"/>
    <w:rsid w:val="00A703BE"/>
    <w:rsid w:val="00A70AF5"/>
    <w:rsid w:val="00A714F1"/>
    <w:rsid w:val="00A71B75"/>
    <w:rsid w:val="00A72345"/>
    <w:rsid w:val="00A73A8A"/>
    <w:rsid w:val="00A73FDA"/>
    <w:rsid w:val="00A74973"/>
    <w:rsid w:val="00A74BFB"/>
    <w:rsid w:val="00A75FA5"/>
    <w:rsid w:val="00A76A6D"/>
    <w:rsid w:val="00A773A9"/>
    <w:rsid w:val="00A804CC"/>
    <w:rsid w:val="00A816C4"/>
    <w:rsid w:val="00A8187E"/>
    <w:rsid w:val="00A82C1A"/>
    <w:rsid w:val="00A83706"/>
    <w:rsid w:val="00A83BC2"/>
    <w:rsid w:val="00A84B4F"/>
    <w:rsid w:val="00A84DE2"/>
    <w:rsid w:val="00A852C6"/>
    <w:rsid w:val="00A85931"/>
    <w:rsid w:val="00A87568"/>
    <w:rsid w:val="00A87C72"/>
    <w:rsid w:val="00A87F21"/>
    <w:rsid w:val="00A88D42"/>
    <w:rsid w:val="00A90942"/>
    <w:rsid w:val="00A917F1"/>
    <w:rsid w:val="00A9228E"/>
    <w:rsid w:val="00A94381"/>
    <w:rsid w:val="00A959D8"/>
    <w:rsid w:val="00A95A30"/>
    <w:rsid w:val="00A95BB1"/>
    <w:rsid w:val="00A9700F"/>
    <w:rsid w:val="00A9745C"/>
    <w:rsid w:val="00A97661"/>
    <w:rsid w:val="00A9776E"/>
    <w:rsid w:val="00AA03E1"/>
    <w:rsid w:val="00AA04EB"/>
    <w:rsid w:val="00AA15D2"/>
    <w:rsid w:val="00AA324B"/>
    <w:rsid w:val="00AA34A1"/>
    <w:rsid w:val="00AA38ED"/>
    <w:rsid w:val="00AA45F3"/>
    <w:rsid w:val="00AA4AFA"/>
    <w:rsid w:val="00AA4B1D"/>
    <w:rsid w:val="00AA4E3E"/>
    <w:rsid w:val="00AA5FB0"/>
    <w:rsid w:val="00AA61A6"/>
    <w:rsid w:val="00AA6423"/>
    <w:rsid w:val="00AA6F06"/>
    <w:rsid w:val="00AA7447"/>
    <w:rsid w:val="00AA7547"/>
    <w:rsid w:val="00AA767D"/>
    <w:rsid w:val="00AB0B2C"/>
    <w:rsid w:val="00AB1748"/>
    <w:rsid w:val="00AB1877"/>
    <w:rsid w:val="00AB1CDD"/>
    <w:rsid w:val="00AB24C0"/>
    <w:rsid w:val="00AB264A"/>
    <w:rsid w:val="00AB287F"/>
    <w:rsid w:val="00AB2DC0"/>
    <w:rsid w:val="00AB3A62"/>
    <w:rsid w:val="00AB3DCA"/>
    <w:rsid w:val="00AB3EB2"/>
    <w:rsid w:val="00AB45FF"/>
    <w:rsid w:val="00AB507C"/>
    <w:rsid w:val="00AB59FF"/>
    <w:rsid w:val="00AB6457"/>
    <w:rsid w:val="00AB6A0E"/>
    <w:rsid w:val="00AB7467"/>
    <w:rsid w:val="00AB79DE"/>
    <w:rsid w:val="00AC12D1"/>
    <w:rsid w:val="00AC13CC"/>
    <w:rsid w:val="00AC1616"/>
    <w:rsid w:val="00AC1C99"/>
    <w:rsid w:val="00AC2C8A"/>
    <w:rsid w:val="00AC4635"/>
    <w:rsid w:val="00AC4892"/>
    <w:rsid w:val="00AC4AFE"/>
    <w:rsid w:val="00AC4E1D"/>
    <w:rsid w:val="00AC5112"/>
    <w:rsid w:val="00AC568F"/>
    <w:rsid w:val="00AC7100"/>
    <w:rsid w:val="00AC741D"/>
    <w:rsid w:val="00AC791F"/>
    <w:rsid w:val="00AC7DFE"/>
    <w:rsid w:val="00AD02F4"/>
    <w:rsid w:val="00AD1846"/>
    <w:rsid w:val="00AD260C"/>
    <w:rsid w:val="00AD32B1"/>
    <w:rsid w:val="00AD37A0"/>
    <w:rsid w:val="00AD416B"/>
    <w:rsid w:val="00AD492D"/>
    <w:rsid w:val="00AD5059"/>
    <w:rsid w:val="00AD5FD0"/>
    <w:rsid w:val="00AD609B"/>
    <w:rsid w:val="00AD61AF"/>
    <w:rsid w:val="00AD7A7D"/>
    <w:rsid w:val="00AD7E8F"/>
    <w:rsid w:val="00AE06A9"/>
    <w:rsid w:val="00AE12CC"/>
    <w:rsid w:val="00AE21C1"/>
    <w:rsid w:val="00AE2DF9"/>
    <w:rsid w:val="00AE2FCB"/>
    <w:rsid w:val="00AE33B8"/>
    <w:rsid w:val="00AE4640"/>
    <w:rsid w:val="00AE481B"/>
    <w:rsid w:val="00AE4CCB"/>
    <w:rsid w:val="00AE4D3F"/>
    <w:rsid w:val="00AE58D4"/>
    <w:rsid w:val="00AE5A40"/>
    <w:rsid w:val="00AE6229"/>
    <w:rsid w:val="00AE6B48"/>
    <w:rsid w:val="00AE6CB3"/>
    <w:rsid w:val="00AE732D"/>
    <w:rsid w:val="00AE783F"/>
    <w:rsid w:val="00AF0A2C"/>
    <w:rsid w:val="00AF0DC2"/>
    <w:rsid w:val="00AF10B7"/>
    <w:rsid w:val="00AF1857"/>
    <w:rsid w:val="00AF2D61"/>
    <w:rsid w:val="00AF406B"/>
    <w:rsid w:val="00AF5407"/>
    <w:rsid w:val="00AF64BD"/>
    <w:rsid w:val="00AF69BA"/>
    <w:rsid w:val="00AF6A64"/>
    <w:rsid w:val="00AF7A46"/>
    <w:rsid w:val="00B00142"/>
    <w:rsid w:val="00B00A77"/>
    <w:rsid w:val="00B00F9C"/>
    <w:rsid w:val="00B031D0"/>
    <w:rsid w:val="00B032B4"/>
    <w:rsid w:val="00B044A2"/>
    <w:rsid w:val="00B066DC"/>
    <w:rsid w:val="00B06D6B"/>
    <w:rsid w:val="00B07312"/>
    <w:rsid w:val="00B0731B"/>
    <w:rsid w:val="00B077FA"/>
    <w:rsid w:val="00B07A17"/>
    <w:rsid w:val="00B1011E"/>
    <w:rsid w:val="00B10A98"/>
    <w:rsid w:val="00B10C97"/>
    <w:rsid w:val="00B11226"/>
    <w:rsid w:val="00B11232"/>
    <w:rsid w:val="00B11323"/>
    <w:rsid w:val="00B11C53"/>
    <w:rsid w:val="00B1221A"/>
    <w:rsid w:val="00B1295A"/>
    <w:rsid w:val="00B13324"/>
    <w:rsid w:val="00B13572"/>
    <w:rsid w:val="00B14431"/>
    <w:rsid w:val="00B165C3"/>
    <w:rsid w:val="00B16FD7"/>
    <w:rsid w:val="00B1748B"/>
    <w:rsid w:val="00B21F11"/>
    <w:rsid w:val="00B22270"/>
    <w:rsid w:val="00B238EA"/>
    <w:rsid w:val="00B23EC6"/>
    <w:rsid w:val="00B24B4D"/>
    <w:rsid w:val="00B24BAD"/>
    <w:rsid w:val="00B259EA"/>
    <w:rsid w:val="00B25F0D"/>
    <w:rsid w:val="00B26233"/>
    <w:rsid w:val="00B27410"/>
    <w:rsid w:val="00B278A7"/>
    <w:rsid w:val="00B27E48"/>
    <w:rsid w:val="00B300C7"/>
    <w:rsid w:val="00B318B7"/>
    <w:rsid w:val="00B31E69"/>
    <w:rsid w:val="00B32FAA"/>
    <w:rsid w:val="00B344AC"/>
    <w:rsid w:val="00B354EF"/>
    <w:rsid w:val="00B356A9"/>
    <w:rsid w:val="00B371B1"/>
    <w:rsid w:val="00B37390"/>
    <w:rsid w:val="00B373BF"/>
    <w:rsid w:val="00B4092D"/>
    <w:rsid w:val="00B40DD7"/>
    <w:rsid w:val="00B42407"/>
    <w:rsid w:val="00B4250F"/>
    <w:rsid w:val="00B435A4"/>
    <w:rsid w:val="00B43DA3"/>
    <w:rsid w:val="00B448AF"/>
    <w:rsid w:val="00B44CA9"/>
    <w:rsid w:val="00B44DBF"/>
    <w:rsid w:val="00B4544B"/>
    <w:rsid w:val="00B45654"/>
    <w:rsid w:val="00B4651C"/>
    <w:rsid w:val="00B466D4"/>
    <w:rsid w:val="00B46849"/>
    <w:rsid w:val="00B47538"/>
    <w:rsid w:val="00B47905"/>
    <w:rsid w:val="00B47C92"/>
    <w:rsid w:val="00B509C2"/>
    <w:rsid w:val="00B51DB9"/>
    <w:rsid w:val="00B53FA5"/>
    <w:rsid w:val="00B5475A"/>
    <w:rsid w:val="00B54822"/>
    <w:rsid w:val="00B55A07"/>
    <w:rsid w:val="00B619C7"/>
    <w:rsid w:val="00B628EB"/>
    <w:rsid w:val="00B62DF9"/>
    <w:rsid w:val="00B630EF"/>
    <w:rsid w:val="00B63120"/>
    <w:rsid w:val="00B63374"/>
    <w:rsid w:val="00B638AE"/>
    <w:rsid w:val="00B63A4B"/>
    <w:rsid w:val="00B65C0F"/>
    <w:rsid w:val="00B6724B"/>
    <w:rsid w:val="00B70B5E"/>
    <w:rsid w:val="00B716FD"/>
    <w:rsid w:val="00B71E1C"/>
    <w:rsid w:val="00B7254D"/>
    <w:rsid w:val="00B726BD"/>
    <w:rsid w:val="00B7308B"/>
    <w:rsid w:val="00B7330F"/>
    <w:rsid w:val="00B73793"/>
    <w:rsid w:val="00B763B6"/>
    <w:rsid w:val="00B76570"/>
    <w:rsid w:val="00B765A7"/>
    <w:rsid w:val="00B76B60"/>
    <w:rsid w:val="00B7772D"/>
    <w:rsid w:val="00B77864"/>
    <w:rsid w:val="00B80B88"/>
    <w:rsid w:val="00B81B97"/>
    <w:rsid w:val="00B82601"/>
    <w:rsid w:val="00B8267A"/>
    <w:rsid w:val="00B84588"/>
    <w:rsid w:val="00B84CD5"/>
    <w:rsid w:val="00B84D53"/>
    <w:rsid w:val="00B84F2B"/>
    <w:rsid w:val="00B852D4"/>
    <w:rsid w:val="00B86B09"/>
    <w:rsid w:val="00B86DF5"/>
    <w:rsid w:val="00B87FD2"/>
    <w:rsid w:val="00B90AEA"/>
    <w:rsid w:val="00B9220C"/>
    <w:rsid w:val="00B925A1"/>
    <w:rsid w:val="00B9275D"/>
    <w:rsid w:val="00B9287D"/>
    <w:rsid w:val="00B928BB"/>
    <w:rsid w:val="00B92D70"/>
    <w:rsid w:val="00B92F58"/>
    <w:rsid w:val="00B93134"/>
    <w:rsid w:val="00B93444"/>
    <w:rsid w:val="00B94457"/>
    <w:rsid w:val="00B961FB"/>
    <w:rsid w:val="00B972F6"/>
    <w:rsid w:val="00BA0C6F"/>
    <w:rsid w:val="00BA14AE"/>
    <w:rsid w:val="00BA1685"/>
    <w:rsid w:val="00BA1B1A"/>
    <w:rsid w:val="00BA1DDF"/>
    <w:rsid w:val="00BA25EF"/>
    <w:rsid w:val="00BA3438"/>
    <w:rsid w:val="00BA3689"/>
    <w:rsid w:val="00BA384F"/>
    <w:rsid w:val="00BA5243"/>
    <w:rsid w:val="00BA613B"/>
    <w:rsid w:val="00BA63DD"/>
    <w:rsid w:val="00BA649C"/>
    <w:rsid w:val="00BA67BF"/>
    <w:rsid w:val="00BA6AC9"/>
    <w:rsid w:val="00BA71B6"/>
    <w:rsid w:val="00BA76A9"/>
    <w:rsid w:val="00BB08A5"/>
    <w:rsid w:val="00BB08A7"/>
    <w:rsid w:val="00BB0B82"/>
    <w:rsid w:val="00BB22D5"/>
    <w:rsid w:val="00BB3637"/>
    <w:rsid w:val="00BB485D"/>
    <w:rsid w:val="00BB4925"/>
    <w:rsid w:val="00BB4A90"/>
    <w:rsid w:val="00BB548A"/>
    <w:rsid w:val="00BB67F9"/>
    <w:rsid w:val="00BB6865"/>
    <w:rsid w:val="00BB6BF3"/>
    <w:rsid w:val="00BB79D1"/>
    <w:rsid w:val="00BC0C95"/>
    <w:rsid w:val="00BC1822"/>
    <w:rsid w:val="00BC1A92"/>
    <w:rsid w:val="00BC2451"/>
    <w:rsid w:val="00BC3206"/>
    <w:rsid w:val="00BC48B2"/>
    <w:rsid w:val="00BC50C0"/>
    <w:rsid w:val="00BC6359"/>
    <w:rsid w:val="00BC6393"/>
    <w:rsid w:val="00BC6A38"/>
    <w:rsid w:val="00BC7979"/>
    <w:rsid w:val="00BD026D"/>
    <w:rsid w:val="00BD037F"/>
    <w:rsid w:val="00BD0462"/>
    <w:rsid w:val="00BD09A4"/>
    <w:rsid w:val="00BD293A"/>
    <w:rsid w:val="00BD36AE"/>
    <w:rsid w:val="00BD3770"/>
    <w:rsid w:val="00BD3EE2"/>
    <w:rsid w:val="00BD4BDD"/>
    <w:rsid w:val="00BD58E8"/>
    <w:rsid w:val="00BD5E14"/>
    <w:rsid w:val="00BD614C"/>
    <w:rsid w:val="00BD6DAD"/>
    <w:rsid w:val="00BD7D02"/>
    <w:rsid w:val="00BD7EA1"/>
    <w:rsid w:val="00BE093D"/>
    <w:rsid w:val="00BE1043"/>
    <w:rsid w:val="00BE21FC"/>
    <w:rsid w:val="00BE28C5"/>
    <w:rsid w:val="00BE2D0D"/>
    <w:rsid w:val="00BE363D"/>
    <w:rsid w:val="00BE3D0D"/>
    <w:rsid w:val="00BE4480"/>
    <w:rsid w:val="00BE6007"/>
    <w:rsid w:val="00BE6A1F"/>
    <w:rsid w:val="00BE731A"/>
    <w:rsid w:val="00BF0404"/>
    <w:rsid w:val="00BF0C69"/>
    <w:rsid w:val="00BF0CB9"/>
    <w:rsid w:val="00BF1E82"/>
    <w:rsid w:val="00BF23C0"/>
    <w:rsid w:val="00BF2EDA"/>
    <w:rsid w:val="00BF4973"/>
    <w:rsid w:val="00BF5489"/>
    <w:rsid w:val="00BF6279"/>
    <w:rsid w:val="00BF67AF"/>
    <w:rsid w:val="00BF6D01"/>
    <w:rsid w:val="00C00D0B"/>
    <w:rsid w:val="00C011F5"/>
    <w:rsid w:val="00C0197A"/>
    <w:rsid w:val="00C01D00"/>
    <w:rsid w:val="00C02262"/>
    <w:rsid w:val="00C03131"/>
    <w:rsid w:val="00C0359A"/>
    <w:rsid w:val="00C035FD"/>
    <w:rsid w:val="00C040BE"/>
    <w:rsid w:val="00C044CC"/>
    <w:rsid w:val="00C045E2"/>
    <w:rsid w:val="00C058B2"/>
    <w:rsid w:val="00C05AFD"/>
    <w:rsid w:val="00C05F1F"/>
    <w:rsid w:val="00C069A6"/>
    <w:rsid w:val="00C07060"/>
    <w:rsid w:val="00C070B8"/>
    <w:rsid w:val="00C07286"/>
    <w:rsid w:val="00C074A0"/>
    <w:rsid w:val="00C07669"/>
    <w:rsid w:val="00C10BC4"/>
    <w:rsid w:val="00C1150E"/>
    <w:rsid w:val="00C12F41"/>
    <w:rsid w:val="00C13065"/>
    <w:rsid w:val="00C13AAE"/>
    <w:rsid w:val="00C16309"/>
    <w:rsid w:val="00C17450"/>
    <w:rsid w:val="00C175D1"/>
    <w:rsid w:val="00C175F1"/>
    <w:rsid w:val="00C178A6"/>
    <w:rsid w:val="00C20679"/>
    <w:rsid w:val="00C2077C"/>
    <w:rsid w:val="00C20A91"/>
    <w:rsid w:val="00C213CB"/>
    <w:rsid w:val="00C215CD"/>
    <w:rsid w:val="00C21712"/>
    <w:rsid w:val="00C22460"/>
    <w:rsid w:val="00C2279D"/>
    <w:rsid w:val="00C2318B"/>
    <w:rsid w:val="00C23201"/>
    <w:rsid w:val="00C25A7E"/>
    <w:rsid w:val="00C26116"/>
    <w:rsid w:val="00C268F5"/>
    <w:rsid w:val="00C26A20"/>
    <w:rsid w:val="00C27B97"/>
    <w:rsid w:val="00C30A27"/>
    <w:rsid w:val="00C30CCD"/>
    <w:rsid w:val="00C32B2C"/>
    <w:rsid w:val="00C343CD"/>
    <w:rsid w:val="00C34844"/>
    <w:rsid w:val="00C34AE3"/>
    <w:rsid w:val="00C34BA2"/>
    <w:rsid w:val="00C36846"/>
    <w:rsid w:val="00C37303"/>
    <w:rsid w:val="00C37B81"/>
    <w:rsid w:val="00C402AB"/>
    <w:rsid w:val="00C41512"/>
    <w:rsid w:val="00C423EC"/>
    <w:rsid w:val="00C427F6"/>
    <w:rsid w:val="00C42DF5"/>
    <w:rsid w:val="00C431B9"/>
    <w:rsid w:val="00C443F5"/>
    <w:rsid w:val="00C4536E"/>
    <w:rsid w:val="00C45835"/>
    <w:rsid w:val="00C47CD2"/>
    <w:rsid w:val="00C50B57"/>
    <w:rsid w:val="00C50C1F"/>
    <w:rsid w:val="00C50F32"/>
    <w:rsid w:val="00C510B4"/>
    <w:rsid w:val="00C51F1A"/>
    <w:rsid w:val="00C5225B"/>
    <w:rsid w:val="00C53139"/>
    <w:rsid w:val="00C5350E"/>
    <w:rsid w:val="00C5382A"/>
    <w:rsid w:val="00C538D7"/>
    <w:rsid w:val="00C53A34"/>
    <w:rsid w:val="00C53C8E"/>
    <w:rsid w:val="00C5489D"/>
    <w:rsid w:val="00C54951"/>
    <w:rsid w:val="00C55EFE"/>
    <w:rsid w:val="00C56668"/>
    <w:rsid w:val="00C5762B"/>
    <w:rsid w:val="00C61667"/>
    <w:rsid w:val="00C618AC"/>
    <w:rsid w:val="00C61A55"/>
    <w:rsid w:val="00C6231D"/>
    <w:rsid w:val="00C630DA"/>
    <w:rsid w:val="00C6376C"/>
    <w:rsid w:val="00C63B83"/>
    <w:rsid w:val="00C63E30"/>
    <w:rsid w:val="00C64071"/>
    <w:rsid w:val="00C6412A"/>
    <w:rsid w:val="00C65D3F"/>
    <w:rsid w:val="00C66A3E"/>
    <w:rsid w:val="00C67089"/>
    <w:rsid w:val="00C71CBC"/>
    <w:rsid w:val="00C72DC0"/>
    <w:rsid w:val="00C72E4D"/>
    <w:rsid w:val="00C7308A"/>
    <w:rsid w:val="00C73754"/>
    <w:rsid w:val="00C742D0"/>
    <w:rsid w:val="00C74836"/>
    <w:rsid w:val="00C74CCC"/>
    <w:rsid w:val="00C75D21"/>
    <w:rsid w:val="00C75E4C"/>
    <w:rsid w:val="00C761E4"/>
    <w:rsid w:val="00C76217"/>
    <w:rsid w:val="00C7637B"/>
    <w:rsid w:val="00C765D6"/>
    <w:rsid w:val="00C76767"/>
    <w:rsid w:val="00C775E6"/>
    <w:rsid w:val="00C77821"/>
    <w:rsid w:val="00C77D64"/>
    <w:rsid w:val="00C81907"/>
    <w:rsid w:val="00C81AE9"/>
    <w:rsid w:val="00C8252D"/>
    <w:rsid w:val="00C82F18"/>
    <w:rsid w:val="00C82FEA"/>
    <w:rsid w:val="00C840C6"/>
    <w:rsid w:val="00C85443"/>
    <w:rsid w:val="00C861AB"/>
    <w:rsid w:val="00C87DD0"/>
    <w:rsid w:val="00C87DDF"/>
    <w:rsid w:val="00C91460"/>
    <w:rsid w:val="00C92B05"/>
    <w:rsid w:val="00C93115"/>
    <w:rsid w:val="00C948ED"/>
    <w:rsid w:val="00C9506A"/>
    <w:rsid w:val="00C95E96"/>
    <w:rsid w:val="00C971C6"/>
    <w:rsid w:val="00CA0028"/>
    <w:rsid w:val="00CA091A"/>
    <w:rsid w:val="00CA161C"/>
    <w:rsid w:val="00CA345F"/>
    <w:rsid w:val="00CA3B95"/>
    <w:rsid w:val="00CA3BE3"/>
    <w:rsid w:val="00CA4713"/>
    <w:rsid w:val="00CA4FD5"/>
    <w:rsid w:val="00CA5028"/>
    <w:rsid w:val="00CA54E9"/>
    <w:rsid w:val="00CA581E"/>
    <w:rsid w:val="00CA5A1B"/>
    <w:rsid w:val="00CA5EA8"/>
    <w:rsid w:val="00CA7E78"/>
    <w:rsid w:val="00CA85D9"/>
    <w:rsid w:val="00CB19B8"/>
    <w:rsid w:val="00CB2036"/>
    <w:rsid w:val="00CB371B"/>
    <w:rsid w:val="00CB3EA3"/>
    <w:rsid w:val="00CB3FF4"/>
    <w:rsid w:val="00CB42AC"/>
    <w:rsid w:val="00CB536C"/>
    <w:rsid w:val="00CB6139"/>
    <w:rsid w:val="00CB7823"/>
    <w:rsid w:val="00CB7EA7"/>
    <w:rsid w:val="00CC12FB"/>
    <w:rsid w:val="00CC295D"/>
    <w:rsid w:val="00CC39DA"/>
    <w:rsid w:val="00CC3A06"/>
    <w:rsid w:val="00CC4462"/>
    <w:rsid w:val="00CC4B03"/>
    <w:rsid w:val="00CC5347"/>
    <w:rsid w:val="00CC5A01"/>
    <w:rsid w:val="00CD0402"/>
    <w:rsid w:val="00CD051D"/>
    <w:rsid w:val="00CD214D"/>
    <w:rsid w:val="00CD25CE"/>
    <w:rsid w:val="00CD38CC"/>
    <w:rsid w:val="00CD5801"/>
    <w:rsid w:val="00CD5DC6"/>
    <w:rsid w:val="00CE0635"/>
    <w:rsid w:val="00CE1421"/>
    <w:rsid w:val="00CE1F8C"/>
    <w:rsid w:val="00CE24FB"/>
    <w:rsid w:val="00CE346D"/>
    <w:rsid w:val="00CE3653"/>
    <w:rsid w:val="00CE442D"/>
    <w:rsid w:val="00CE49FD"/>
    <w:rsid w:val="00CE538C"/>
    <w:rsid w:val="00CE5DF9"/>
    <w:rsid w:val="00CE67F6"/>
    <w:rsid w:val="00CE730F"/>
    <w:rsid w:val="00CE7CCE"/>
    <w:rsid w:val="00CF1873"/>
    <w:rsid w:val="00CF1C3B"/>
    <w:rsid w:val="00CF200D"/>
    <w:rsid w:val="00CF2897"/>
    <w:rsid w:val="00CF2C05"/>
    <w:rsid w:val="00CF32DE"/>
    <w:rsid w:val="00CF45FC"/>
    <w:rsid w:val="00CF4B00"/>
    <w:rsid w:val="00CF4B95"/>
    <w:rsid w:val="00CF4D6C"/>
    <w:rsid w:val="00CF52D7"/>
    <w:rsid w:val="00CF5780"/>
    <w:rsid w:val="00CF5A74"/>
    <w:rsid w:val="00CF62BC"/>
    <w:rsid w:val="00CF6418"/>
    <w:rsid w:val="00CF729B"/>
    <w:rsid w:val="00CF7BC2"/>
    <w:rsid w:val="00D0030A"/>
    <w:rsid w:val="00D009B7"/>
    <w:rsid w:val="00D00CF3"/>
    <w:rsid w:val="00D027C6"/>
    <w:rsid w:val="00D02E20"/>
    <w:rsid w:val="00D02E27"/>
    <w:rsid w:val="00D0324C"/>
    <w:rsid w:val="00D037CB"/>
    <w:rsid w:val="00D04812"/>
    <w:rsid w:val="00D061CF"/>
    <w:rsid w:val="00D074E5"/>
    <w:rsid w:val="00D07F3B"/>
    <w:rsid w:val="00D110AD"/>
    <w:rsid w:val="00D11379"/>
    <w:rsid w:val="00D11CDB"/>
    <w:rsid w:val="00D1222E"/>
    <w:rsid w:val="00D13075"/>
    <w:rsid w:val="00D135BC"/>
    <w:rsid w:val="00D13E33"/>
    <w:rsid w:val="00D14411"/>
    <w:rsid w:val="00D15198"/>
    <w:rsid w:val="00D157A4"/>
    <w:rsid w:val="00D170E9"/>
    <w:rsid w:val="00D170F3"/>
    <w:rsid w:val="00D1742A"/>
    <w:rsid w:val="00D175A8"/>
    <w:rsid w:val="00D17713"/>
    <w:rsid w:val="00D200DE"/>
    <w:rsid w:val="00D211AB"/>
    <w:rsid w:val="00D214E8"/>
    <w:rsid w:val="00D21919"/>
    <w:rsid w:val="00D21D61"/>
    <w:rsid w:val="00D22C82"/>
    <w:rsid w:val="00D22C87"/>
    <w:rsid w:val="00D23091"/>
    <w:rsid w:val="00D233FF"/>
    <w:rsid w:val="00D23572"/>
    <w:rsid w:val="00D237E6"/>
    <w:rsid w:val="00D239E4"/>
    <w:rsid w:val="00D2599D"/>
    <w:rsid w:val="00D27002"/>
    <w:rsid w:val="00D30192"/>
    <w:rsid w:val="00D3091B"/>
    <w:rsid w:val="00D3095B"/>
    <w:rsid w:val="00D30B79"/>
    <w:rsid w:val="00D315AC"/>
    <w:rsid w:val="00D31E01"/>
    <w:rsid w:val="00D3207D"/>
    <w:rsid w:val="00D32542"/>
    <w:rsid w:val="00D33A17"/>
    <w:rsid w:val="00D361A3"/>
    <w:rsid w:val="00D3626E"/>
    <w:rsid w:val="00D36678"/>
    <w:rsid w:val="00D36E7C"/>
    <w:rsid w:val="00D376AD"/>
    <w:rsid w:val="00D40342"/>
    <w:rsid w:val="00D40584"/>
    <w:rsid w:val="00D40FF0"/>
    <w:rsid w:val="00D41065"/>
    <w:rsid w:val="00D410F3"/>
    <w:rsid w:val="00D413B1"/>
    <w:rsid w:val="00D42210"/>
    <w:rsid w:val="00D425F0"/>
    <w:rsid w:val="00D42B89"/>
    <w:rsid w:val="00D43781"/>
    <w:rsid w:val="00D43990"/>
    <w:rsid w:val="00D43FD5"/>
    <w:rsid w:val="00D45014"/>
    <w:rsid w:val="00D454DB"/>
    <w:rsid w:val="00D47BEB"/>
    <w:rsid w:val="00D50410"/>
    <w:rsid w:val="00D505F4"/>
    <w:rsid w:val="00D51D94"/>
    <w:rsid w:val="00D523AB"/>
    <w:rsid w:val="00D52E54"/>
    <w:rsid w:val="00D53BE1"/>
    <w:rsid w:val="00D541A7"/>
    <w:rsid w:val="00D54EA4"/>
    <w:rsid w:val="00D56633"/>
    <w:rsid w:val="00D5784B"/>
    <w:rsid w:val="00D578D3"/>
    <w:rsid w:val="00D602B6"/>
    <w:rsid w:val="00D60CF9"/>
    <w:rsid w:val="00D61669"/>
    <w:rsid w:val="00D626B4"/>
    <w:rsid w:val="00D64522"/>
    <w:rsid w:val="00D64953"/>
    <w:rsid w:val="00D64EF3"/>
    <w:rsid w:val="00D65809"/>
    <w:rsid w:val="00D6587C"/>
    <w:rsid w:val="00D6610F"/>
    <w:rsid w:val="00D66D20"/>
    <w:rsid w:val="00D66DB1"/>
    <w:rsid w:val="00D705EA"/>
    <w:rsid w:val="00D714D4"/>
    <w:rsid w:val="00D71E4A"/>
    <w:rsid w:val="00D72017"/>
    <w:rsid w:val="00D724A5"/>
    <w:rsid w:val="00D72C3D"/>
    <w:rsid w:val="00D72CD9"/>
    <w:rsid w:val="00D734D5"/>
    <w:rsid w:val="00D74B7A"/>
    <w:rsid w:val="00D75517"/>
    <w:rsid w:val="00D755B9"/>
    <w:rsid w:val="00D77C23"/>
    <w:rsid w:val="00D80270"/>
    <w:rsid w:val="00D802FE"/>
    <w:rsid w:val="00D808B6"/>
    <w:rsid w:val="00D80DD7"/>
    <w:rsid w:val="00D80EFA"/>
    <w:rsid w:val="00D81856"/>
    <w:rsid w:val="00D81CE0"/>
    <w:rsid w:val="00D8219A"/>
    <w:rsid w:val="00D825A2"/>
    <w:rsid w:val="00D82A30"/>
    <w:rsid w:val="00D82E99"/>
    <w:rsid w:val="00D83D81"/>
    <w:rsid w:val="00D846E1"/>
    <w:rsid w:val="00D84A30"/>
    <w:rsid w:val="00D856B4"/>
    <w:rsid w:val="00D857B9"/>
    <w:rsid w:val="00D8695A"/>
    <w:rsid w:val="00D86AC3"/>
    <w:rsid w:val="00D86DA9"/>
    <w:rsid w:val="00D874BD"/>
    <w:rsid w:val="00D877D0"/>
    <w:rsid w:val="00D87889"/>
    <w:rsid w:val="00D87B99"/>
    <w:rsid w:val="00D87FB7"/>
    <w:rsid w:val="00D90F04"/>
    <w:rsid w:val="00D91274"/>
    <w:rsid w:val="00D9145D"/>
    <w:rsid w:val="00D920FB"/>
    <w:rsid w:val="00D9247E"/>
    <w:rsid w:val="00D92C11"/>
    <w:rsid w:val="00D9300F"/>
    <w:rsid w:val="00D931E1"/>
    <w:rsid w:val="00D96E1A"/>
    <w:rsid w:val="00D97538"/>
    <w:rsid w:val="00D97D31"/>
    <w:rsid w:val="00DA044E"/>
    <w:rsid w:val="00DA0464"/>
    <w:rsid w:val="00DA0D37"/>
    <w:rsid w:val="00DA0D71"/>
    <w:rsid w:val="00DA15DF"/>
    <w:rsid w:val="00DA18B1"/>
    <w:rsid w:val="00DA2108"/>
    <w:rsid w:val="00DA2442"/>
    <w:rsid w:val="00DA2733"/>
    <w:rsid w:val="00DA2843"/>
    <w:rsid w:val="00DA2AC5"/>
    <w:rsid w:val="00DA2C3A"/>
    <w:rsid w:val="00DA2CBA"/>
    <w:rsid w:val="00DA3C79"/>
    <w:rsid w:val="00DA3CB0"/>
    <w:rsid w:val="00DA3F96"/>
    <w:rsid w:val="00DA454D"/>
    <w:rsid w:val="00DA4905"/>
    <w:rsid w:val="00DA5A59"/>
    <w:rsid w:val="00DA6146"/>
    <w:rsid w:val="00DA69DF"/>
    <w:rsid w:val="00DA70AB"/>
    <w:rsid w:val="00DA78AE"/>
    <w:rsid w:val="00DA799D"/>
    <w:rsid w:val="00DB01EA"/>
    <w:rsid w:val="00DB0A76"/>
    <w:rsid w:val="00DB0BD9"/>
    <w:rsid w:val="00DB0E89"/>
    <w:rsid w:val="00DB197A"/>
    <w:rsid w:val="00DB20FD"/>
    <w:rsid w:val="00DB2B08"/>
    <w:rsid w:val="00DB2B73"/>
    <w:rsid w:val="00DB3961"/>
    <w:rsid w:val="00DB3A76"/>
    <w:rsid w:val="00DB3EAA"/>
    <w:rsid w:val="00DB4108"/>
    <w:rsid w:val="00DB48EF"/>
    <w:rsid w:val="00DB4A30"/>
    <w:rsid w:val="00DB4C6A"/>
    <w:rsid w:val="00DB63BA"/>
    <w:rsid w:val="00DB6AAF"/>
    <w:rsid w:val="00DB6DD6"/>
    <w:rsid w:val="00DC01C6"/>
    <w:rsid w:val="00DC052C"/>
    <w:rsid w:val="00DC1653"/>
    <w:rsid w:val="00DC2014"/>
    <w:rsid w:val="00DC2950"/>
    <w:rsid w:val="00DC2EC5"/>
    <w:rsid w:val="00DC40F2"/>
    <w:rsid w:val="00DC5045"/>
    <w:rsid w:val="00DC5192"/>
    <w:rsid w:val="00DC690F"/>
    <w:rsid w:val="00DC6AFF"/>
    <w:rsid w:val="00DC7896"/>
    <w:rsid w:val="00DC7982"/>
    <w:rsid w:val="00DC7B37"/>
    <w:rsid w:val="00DD061A"/>
    <w:rsid w:val="00DD1C6C"/>
    <w:rsid w:val="00DD2347"/>
    <w:rsid w:val="00DD2FD8"/>
    <w:rsid w:val="00DD3D6C"/>
    <w:rsid w:val="00DD427D"/>
    <w:rsid w:val="00DD47A3"/>
    <w:rsid w:val="00DD48A6"/>
    <w:rsid w:val="00DD4952"/>
    <w:rsid w:val="00DD4DEC"/>
    <w:rsid w:val="00DD5F01"/>
    <w:rsid w:val="00DD615D"/>
    <w:rsid w:val="00DD6776"/>
    <w:rsid w:val="00DD6C57"/>
    <w:rsid w:val="00DD7775"/>
    <w:rsid w:val="00DD7EFF"/>
    <w:rsid w:val="00DE1913"/>
    <w:rsid w:val="00DE1B06"/>
    <w:rsid w:val="00DE2112"/>
    <w:rsid w:val="00DE3363"/>
    <w:rsid w:val="00DE34F4"/>
    <w:rsid w:val="00DE3B63"/>
    <w:rsid w:val="00DE74CD"/>
    <w:rsid w:val="00DF0193"/>
    <w:rsid w:val="00DF05C0"/>
    <w:rsid w:val="00DF12F6"/>
    <w:rsid w:val="00DF189D"/>
    <w:rsid w:val="00DF1E57"/>
    <w:rsid w:val="00DF29E7"/>
    <w:rsid w:val="00DF34DC"/>
    <w:rsid w:val="00DF38B2"/>
    <w:rsid w:val="00DF41EA"/>
    <w:rsid w:val="00DF46E3"/>
    <w:rsid w:val="00DF4705"/>
    <w:rsid w:val="00DF4C60"/>
    <w:rsid w:val="00DF53C1"/>
    <w:rsid w:val="00DF5DFB"/>
    <w:rsid w:val="00DF6535"/>
    <w:rsid w:val="00DF6B77"/>
    <w:rsid w:val="00DF72C6"/>
    <w:rsid w:val="00DF7A6B"/>
    <w:rsid w:val="00E005D8"/>
    <w:rsid w:val="00E0160D"/>
    <w:rsid w:val="00E01968"/>
    <w:rsid w:val="00E01AD4"/>
    <w:rsid w:val="00E026EC"/>
    <w:rsid w:val="00E03187"/>
    <w:rsid w:val="00E03F7E"/>
    <w:rsid w:val="00E04357"/>
    <w:rsid w:val="00E04C39"/>
    <w:rsid w:val="00E04DA1"/>
    <w:rsid w:val="00E05D29"/>
    <w:rsid w:val="00E06336"/>
    <w:rsid w:val="00E071C8"/>
    <w:rsid w:val="00E07891"/>
    <w:rsid w:val="00E07EC1"/>
    <w:rsid w:val="00E10205"/>
    <w:rsid w:val="00E10255"/>
    <w:rsid w:val="00E10B5C"/>
    <w:rsid w:val="00E11DF4"/>
    <w:rsid w:val="00E138DF"/>
    <w:rsid w:val="00E13D9E"/>
    <w:rsid w:val="00E144E8"/>
    <w:rsid w:val="00E155DF"/>
    <w:rsid w:val="00E16D53"/>
    <w:rsid w:val="00E17AEA"/>
    <w:rsid w:val="00E218A2"/>
    <w:rsid w:val="00E22B73"/>
    <w:rsid w:val="00E22E15"/>
    <w:rsid w:val="00E242A6"/>
    <w:rsid w:val="00E2456C"/>
    <w:rsid w:val="00E24C7C"/>
    <w:rsid w:val="00E260E8"/>
    <w:rsid w:val="00E270C3"/>
    <w:rsid w:val="00E27BF3"/>
    <w:rsid w:val="00E32082"/>
    <w:rsid w:val="00E339D8"/>
    <w:rsid w:val="00E3477C"/>
    <w:rsid w:val="00E354C9"/>
    <w:rsid w:val="00E364A7"/>
    <w:rsid w:val="00E3668C"/>
    <w:rsid w:val="00E366BD"/>
    <w:rsid w:val="00E36836"/>
    <w:rsid w:val="00E378E3"/>
    <w:rsid w:val="00E37AC0"/>
    <w:rsid w:val="00E40713"/>
    <w:rsid w:val="00E40B56"/>
    <w:rsid w:val="00E415D8"/>
    <w:rsid w:val="00E418C9"/>
    <w:rsid w:val="00E41B72"/>
    <w:rsid w:val="00E41B96"/>
    <w:rsid w:val="00E41D66"/>
    <w:rsid w:val="00E425AE"/>
    <w:rsid w:val="00E42D05"/>
    <w:rsid w:val="00E43437"/>
    <w:rsid w:val="00E43518"/>
    <w:rsid w:val="00E43730"/>
    <w:rsid w:val="00E43F86"/>
    <w:rsid w:val="00E449D0"/>
    <w:rsid w:val="00E45A3F"/>
    <w:rsid w:val="00E45DF7"/>
    <w:rsid w:val="00E45EAA"/>
    <w:rsid w:val="00E5121A"/>
    <w:rsid w:val="00E51E89"/>
    <w:rsid w:val="00E52068"/>
    <w:rsid w:val="00E52245"/>
    <w:rsid w:val="00E533BF"/>
    <w:rsid w:val="00E53408"/>
    <w:rsid w:val="00E538C2"/>
    <w:rsid w:val="00E53D1C"/>
    <w:rsid w:val="00E56B96"/>
    <w:rsid w:val="00E57F83"/>
    <w:rsid w:val="00E616BB"/>
    <w:rsid w:val="00E61A5F"/>
    <w:rsid w:val="00E635EC"/>
    <w:rsid w:val="00E636E8"/>
    <w:rsid w:val="00E64339"/>
    <w:rsid w:val="00E654A7"/>
    <w:rsid w:val="00E657D8"/>
    <w:rsid w:val="00E65B96"/>
    <w:rsid w:val="00E66078"/>
    <w:rsid w:val="00E66AFC"/>
    <w:rsid w:val="00E676B1"/>
    <w:rsid w:val="00E67C40"/>
    <w:rsid w:val="00E67D88"/>
    <w:rsid w:val="00E70C3C"/>
    <w:rsid w:val="00E71377"/>
    <w:rsid w:val="00E71724"/>
    <w:rsid w:val="00E71EEF"/>
    <w:rsid w:val="00E7368A"/>
    <w:rsid w:val="00E77DAD"/>
    <w:rsid w:val="00E77F6E"/>
    <w:rsid w:val="00E80607"/>
    <w:rsid w:val="00E8160A"/>
    <w:rsid w:val="00E819EB"/>
    <w:rsid w:val="00E81A9D"/>
    <w:rsid w:val="00E823F2"/>
    <w:rsid w:val="00E82570"/>
    <w:rsid w:val="00E82B2A"/>
    <w:rsid w:val="00E82D19"/>
    <w:rsid w:val="00E83094"/>
    <w:rsid w:val="00E8373C"/>
    <w:rsid w:val="00E83878"/>
    <w:rsid w:val="00E83A42"/>
    <w:rsid w:val="00E83A8F"/>
    <w:rsid w:val="00E8464E"/>
    <w:rsid w:val="00E848A8"/>
    <w:rsid w:val="00E85F8A"/>
    <w:rsid w:val="00E871B2"/>
    <w:rsid w:val="00E905D9"/>
    <w:rsid w:val="00E90A06"/>
    <w:rsid w:val="00E90AE2"/>
    <w:rsid w:val="00E90B12"/>
    <w:rsid w:val="00E90B72"/>
    <w:rsid w:val="00E9191E"/>
    <w:rsid w:val="00E91EE6"/>
    <w:rsid w:val="00E92135"/>
    <w:rsid w:val="00E92665"/>
    <w:rsid w:val="00E92FBD"/>
    <w:rsid w:val="00E93F16"/>
    <w:rsid w:val="00E95484"/>
    <w:rsid w:val="00E95A00"/>
    <w:rsid w:val="00E95D0F"/>
    <w:rsid w:val="00E95DED"/>
    <w:rsid w:val="00E96B5A"/>
    <w:rsid w:val="00EA1154"/>
    <w:rsid w:val="00EA1B2E"/>
    <w:rsid w:val="00EA1C4D"/>
    <w:rsid w:val="00EA1F13"/>
    <w:rsid w:val="00EA1F88"/>
    <w:rsid w:val="00EA2280"/>
    <w:rsid w:val="00EA422F"/>
    <w:rsid w:val="00EA45F2"/>
    <w:rsid w:val="00EA505C"/>
    <w:rsid w:val="00EA5D2E"/>
    <w:rsid w:val="00EA69F8"/>
    <w:rsid w:val="00EA6DB2"/>
    <w:rsid w:val="00EB013A"/>
    <w:rsid w:val="00EB0CAB"/>
    <w:rsid w:val="00EB13AE"/>
    <w:rsid w:val="00EB195A"/>
    <w:rsid w:val="00EB1BC6"/>
    <w:rsid w:val="00EB2487"/>
    <w:rsid w:val="00EB32D4"/>
    <w:rsid w:val="00EB3862"/>
    <w:rsid w:val="00EB4B4F"/>
    <w:rsid w:val="00EB5B60"/>
    <w:rsid w:val="00EB5E39"/>
    <w:rsid w:val="00EB5EB0"/>
    <w:rsid w:val="00EB62F5"/>
    <w:rsid w:val="00EB6793"/>
    <w:rsid w:val="00EB6986"/>
    <w:rsid w:val="00EB7731"/>
    <w:rsid w:val="00EB7DDD"/>
    <w:rsid w:val="00EC00F7"/>
    <w:rsid w:val="00EC0679"/>
    <w:rsid w:val="00EC135B"/>
    <w:rsid w:val="00EC25D3"/>
    <w:rsid w:val="00EC275A"/>
    <w:rsid w:val="00EC4AE5"/>
    <w:rsid w:val="00EC537F"/>
    <w:rsid w:val="00EC5B7A"/>
    <w:rsid w:val="00EC5D8D"/>
    <w:rsid w:val="00EC6B8C"/>
    <w:rsid w:val="00EC6BCD"/>
    <w:rsid w:val="00ED004E"/>
    <w:rsid w:val="00ED0E4F"/>
    <w:rsid w:val="00ED1E7E"/>
    <w:rsid w:val="00ED2B6C"/>
    <w:rsid w:val="00ED32AE"/>
    <w:rsid w:val="00ED3671"/>
    <w:rsid w:val="00ED36EF"/>
    <w:rsid w:val="00ED4413"/>
    <w:rsid w:val="00ED5EE1"/>
    <w:rsid w:val="00ED6254"/>
    <w:rsid w:val="00ED651F"/>
    <w:rsid w:val="00ED65F9"/>
    <w:rsid w:val="00ED6662"/>
    <w:rsid w:val="00ED6672"/>
    <w:rsid w:val="00ED6A72"/>
    <w:rsid w:val="00ED74F5"/>
    <w:rsid w:val="00EE24C3"/>
    <w:rsid w:val="00EE290C"/>
    <w:rsid w:val="00EE2BBA"/>
    <w:rsid w:val="00EE2FAF"/>
    <w:rsid w:val="00EE42E8"/>
    <w:rsid w:val="00EE4B71"/>
    <w:rsid w:val="00EE4BD1"/>
    <w:rsid w:val="00EE4E0B"/>
    <w:rsid w:val="00EE5C0D"/>
    <w:rsid w:val="00EE7754"/>
    <w:rsid w:val="00EE7D3F"/>
    <w:rsid w:val="00EF0DD2"/>
    <w:rsid w:val="00EF101F"/>
    <w:rsid w:val="00EF113E"/>
    <w:rsid w:val="00EF15C9"/>
    <w:rsid w:val="00EF1873"/>
    <w:rsid w:val="00EF23AA"/>
    <w:rsid w:val="00EF2FDB"/>
    <w:rsid w:val="00EF4456"/>
    <w:rsid w:val="00EF721F"/>
    <w:rsid w:val="00EF7419"/>
    <w:rsid w:val="00F00247"/>
    <w:rsid w:val="00F005EE"/>
    <w:rsid w:val="00F015D0"/>
    <w:rsid w:val="00F021FF"/>
    <w:rsid w:val="00F025E0"/>
    <w:rsid w:val="00F02B94"/>
    <w:rsid w:val="00F03EF8"/>
    <w:rsid w:val="00F044B0"/>
    <w:rsid w:val="00F05D9A"/>
    <w:rsid w:val="00F06059"/>
    <w:rsid w:val="00F060A0"/>
    <w:rsid w:val="00F06165"/>
    <w:rsid w:val="00F06175"/>
    <w:rsid w:val="00F067C7"/>
    <w:rsid w:val="00F0767D"/>
    <w:rsid w:val="00F11C09"/>
    <w:rsid w:val="00F1226C"/>
    <w:rsid w:val="00F13580"/>
    <w:rsid w:val="00F13AEF"/>
    <w:rsid w:val="00F13F43"/>
    <w:rsid w:val="00F148F5"/>
    <w:rsid w:val="00F16A3E"/>
    <w:rsid w:val="00F16AC9"/>
    <w:rsid w:val="00F204B8"/>
    <w:rsid w:val="00F20CD8"/>
    <w:rsid w:val="00F21027"/>
    <w:rsid w:val="00F2144B"/>
    <w:rsid w:val="00F21CD3"/>
    <w:rsid w:val="00F226F9"/>
    <w:rsid w:val="00F230C6"/>
    <w:rsid w:val="00F23475"/>
    <w:rsid w:val="00F235FE"/>
    <w:rsid w:val="00F23902"/>
    <w:rsid w:val="00F2486A"/>
    <w:rsid w:val="00F24C79"/>
    <w:rsid w:val="00F24D1B"/>
    <w:rsid w:val="00F24DFC"/>
    <w:rsid w:val="00F25888"/>
    <w:rsid w:val="00F25FC7"/>
    <w:rsid w:val="00F26763"/>
    <w:rsid w:val="00F27038"/>
    <w:rsid w:val="00F275B7"/>
    <w:rsid w:val="00F2777A"/>
    <w:rsid w:val="00F27A4F"/>
    <w:rsid w:val="00F30879"/>
    <w:rsid w:val="00F30A44"/>
    <w:rsid w:val="00F315AC"/>
    <w:rsid w:val="00F32170"/>
    <w:rsid w:val="00F32CCA"/>
    <w:rsid w:val="00F33059"/>
    <w:rsid w:val="00F33318"/>
    <w:rsid w:val="00F342E5"/>
    <w:rsid w:val="00F352DC"/>
    <w:rsid w:val="00F35A3A"/>
    <w:rsid w:val="00F35F79"/>
    <w:rsid w:val="00F367E0"/>
    <w:rsid w:val="00F36917"/>
    <w:rsid w:val="00F36C73"/>
    <w:rsid w:val="00F37387"/>
    <w:rsid w:val="00F4026E"/>
    <w:rsid w:val="00F42549"/>
    <w:rsid w:val="00F42700"/>
    <w:rsid w:val="00F42703"/>
    <w:rsid w:val="00F42FF4"/>
    <w:rsid w:val="00F43BBE"/>
    <w:rsid w:val="00F43D4D"/>
    <w:rsid w:val="00F44687"/>
    <w:rsid w:val="00F45660"/>
    <w:rsid w:val="00F45C90"/>
    <w:rsid w:val="00F4742C"/>
    <w:rsid w:val="00F503FE"/>
    <w:rsid w:val="00F51661"/>
    <w:rsid w:val="00F51844"/>
    <w:rsid w:val="00F51F3E"/>
    <w:rsid w:val="00F529D2"/>
    <w:rsid w:val="00F52AFC"/>
    <w:rsid w:val="00F536B8"/>
    <w:rsid w:val="00F54957"/>
    <w:rsid w:val="00F54E0B"/>
    <w:rsid w:val="00F55123"/>
    <w:rsid w:val="00F55160"/>
    <w:rsid w:val="00F5591F"/>
    <w:rsid w:val="00F564AD"/>
    <w:rsid w:val="00F56F87"/>
    <w:rsid w:val="00F6190C"/>
    <w:rsid w:val="00F62A37"/>
    <w:rsid w:val="00F64B23"/>
    <w:rsid w:val="00F64E68"/>
    <w:rsid w:val="00F657D3"/>
    <w:rsid w:val="00F66131"/>
    <w:rsid w:val="00F66569"/>
    <w:rsid w:val="00F665F7"/>
    <w:rsid w:val="00F66BDF"/>
    <w:rsid w:val="00F66C3F"/>
    <w:rsid w:val="00F66E15"/>
    <w:rsid w:val="00F67310"/>
    <w:rsid w:val="00F67968"/>
    <w:rsid w:val="00F67E63"/>
    <w:rsid w:val="00F67F13"/>
    <w:rsid w:val="00F70B9F"/>
    <w:rsid w:val="00F70FC3"/>
    <w:rsid w:val="00F7117E"/>
    <w:rsid w:val="00F71449"/>
    <w:rsid w:val="00F72231"/>
    <w:rsid w:val="00F7227D"/>
    <w:rsid w:val="00F72563"/>
    <w:rsid w:val="00F726EB"/>
    <w:rsid w:val="00F7386D"/>
    <w:rsid w:val="00F74E73"/>
    <w:rsid w:val="00F75370"/>
    <w:rsid w:val="00F75EBD"/>
    <w:rsid w:val="00F76BDC"/>
    <w:rsid w:val="00F77E52"/>
    <w:rsid w:val="00F80832"/>
    <w:rsid w:val="00F8159C"/>
    <w:rsid w:val="00F8219C"/>
    <w:rsid w:val="00F82310"/>
    <w:rsid w:val="00F83094"/>
    <w:rsid w:val="00F836B9"/>
    <w:rsid w:val="00F83AB5"/>
    <w:rsid w:val="00F83F17"/>
    <w:rsid w:val="00F84618"/>
    <w:rsid w:val="00F8486A"/>
    <w:rsid w:val="00F85482"/>
    <w:rsid w:val="00F86928"/>
    <w:rsid w:val="00F86B37"/>
    <w:rsid w:val="00F86B68"/>
    <w:rsid w:val="00F872C1"/>
    <w:rsid w:val="00F8778D"/>
    <w:rsid w:val="00F90087"/>
    <w:rsid w:val="00F902D3"/>
    <w:rsid w:val="00F90D3B"/>
    <w:rsid w:val="00F912E6"/>
    <w:rsid w:val="00F916C8"/>
    <w:rsid w:val="00F92048"/>
    <w:rsid w:val="00F92233"/>
    <w:rsid w:val="00F92455"/>
    <w:rsid w:val="00F92D6F"/>
    <w:rsid w:val="00F93AC6"/>
    <w:rsid w:val="00F93E75"/>
    <w:rsid w:val="00F94194"/>
    <w:rsid w:val="00F946CF"/>
    <w:rsid w:val="00F94727"/>
    <w:rsid w:val="00F94770"/>
    <w:rsid w:val="00F95CB1"/>
    <w:rsid w:val="00F95E36"/>
    <w:rsid w:val="00F96E19"/>
    <w:rsid w:val="00F97EE7"/>
    <w:rsid w:val="00FA0CE7"/>
    <w:rsid w:val="00FA18E8"/>
    <w:rsid w:val="00FA19E8"/>
    <w:rsid w:val="00FA296D"/>
    <w:rsid w:val="00FA4192"/>
    <w:rsid w:val="00FA439A"/>
    <w:rsid w:val="00FA5106"/>
    <w:rsid w:val="00FA6A6B"/>
    <w:rsid w:val="00FA77ED"/>
    <w:rsid w:val="00FB08D1"/>
    <w:rsid w:val="00FB0A7D"/>
    <w:rsid w:val="00FB14BE"/>
    <w:rsid w:val="00FB4989"/>
    <w:rsid w:val="00FB53BC"/>
    <w:rsid w:val="00FB5BF9"/>
    <w:rsid w:val="00FB6202"/>
    <w:rsid w:val="00FB64EA"/>
    <w:rsid w:val="00FB66CD"/>
    <w:rsid w:val="00FB71DB"/>
    <w:rsid w:val="00FC08C3"/>
    <w:rsid w:val="00FC11AF"/>
    <w:rsid w:val="00FC17BC"/>
    <w:rsid w:val="00FC18C6"/>
    <w:rsid w:val="00FC22A3"/>
    <w:rsid w:val="00FC2BBB"/>
    <w:rsid w:val="00FC3E37"/>
    <w:rsid w:val="00FC5460"/>
    <w:rsid w:val="00FC5FAC"/>
    <w:rsid w:val="00FC7F31"/>
    <w:rsid w:val="00FD1A04"/>
    <w:rsid w:val="00FD3B1D"/>
    <w:rsid w:val="00FD50AF"/>
    <w:rsid w:val="00FD695A"/>
    <w:rsid w:val="00FE08F9"/>
    <w:rsid w:val="00FE16F7"/>
    <w:rsid w:val="00FE2246"/>
    <w:rsid w:val="00FE2537"/>
    <w:rsid w:val="00FE42EF"/>
    <w:rsid w:val="00FE5EA3"/>
    <w:rsid w:val="00FE6B89"/>
    <w:rsid w:val="00FE7A81"/>
    <w:rsid w:val="00FF0DA1"/>
    <w:rsid w:val="00FF0ECB"/>
    <w:rsid w:val="00FF12B9"/>
    <w:rsid w:val="00FF1CBA"/>
    <w:rsid w:val="00FF1E7B"/>
    <w:rsid w:val="00FF1F54"/>
    <w:rsid w:val="00FF5D3D"/>
    <w:rsid w:val="00FF5DF5"/>
    <w:rsid w:val="00FF6227"/>
    <w:rsid w:val="00FF6D6A"/>
    <w:rsid w:val="0123B555"/>
    <w:rsid w:val="013D605F"/>
    <w:rsid w:val="01754D2D"/>
    <w:rsid w:val="018AF76A"/>
    <w:rsid w:val="0192DF09"/>
    <w:rsid w:val="01940491"/>
    <w:rsid w:val="01D18353"/>
    <w:rsid w:val="01F79CE5"/>
    <w:rsid w:val="0200127D"/>
    <w:rsid w:val="0235F3C0"/>
    <w:rsid w:val="026E5B9E"/>
    <w:rsid w:val="02789875"/>
    <w:rsid w:val="02B32BDF"/>
    <w:rsid w:val="02BCB812"/>
    <w:rsid w:val="02BCCF38"/>
    <w:rsid w:val="02C3AE81"/>
    <w:rsid w:val="02DBBA63"/>
    <w:rsid w:val="0319DB41"/>
    <w:rsid w:val="0381D1FB"/>
    <w:rsid w:val="03A2AED9"/>
    <w:rsid w:val="03BDF4C5"/>
    <w:rsid w:val="03DA195A"/>
    <w:rsid w:val="03F1B42E"/>
    <w:rsid w:val="03F99C83"/>
    <w:rsid w:val="0418BADD"/>
    <w:rsid w:val="041D7FD7"/>
    <w:rsid w:val="043AAA4F"/>
    <w:rsid w:val="0457E073"/>
    <w:rsid w:val="0467174E"/>
    <w:rsid w:val="04834AF7"/>
    <w:rsid w:val="04982C5D"/>
    <w:rsid w:val="04A07ADA"/>
    <w:rsid w:val="04C1730B"/>
    <w:rsid w:val="04C2891D"/>
    <w:rsid w:val="04C2C800"/>
    <w:rsid w:val="04FFAD66"/>
    <w:rsid w:val="05267E97"/>
    <w:rsid w:val="0537D23B"/>
    <w:rsid w:val="05FE2FCC"/>
    <w:rsid w:val="05FEAD31"/>
    <w:rsid w:val="0618B77B"/>
    <w:rsid w:val="0636BD2C"/>
    <w:rsid w:val="063A67B2"/>
    <w:rsid w:val="06B0C9D7"/>
    <w:rsid w:val="06C2FDEA"/>
    <w:rsid w:val="06D2E874"/>
    <w:rsid w:val="0724B2DB"/>
    <w:rsid w:val="0753D873"/>
    <w:rsid w:val="0758AFAD"/>
    <w:rsid w:val="07BABF67"/>
    <w:rsid w:val="07F799AF"/>
    <w:rsid w:val="0801234B"/>
    <w:rsid w:val="0808F199"/>
    <w:rsid w:val="0828BD1E"/>
    <w:rsid w:val="08CD2B12"/>
    <w:rsid w:val="08F0F04F"/>
    <w:rsid w:val="09279CD8"/>
    <w:rsid w:val="09E3250F"/>
    <w:rsid w:val="09E59302"/>
    <w:rsid w:val="09F3732C"/>
    <w:rsid w:val="0A1BD243"/>
    <w:rsid w:val="0A45B287"/>
    <w:rsid w:val="0A5F781C"/>
    <w:rsid w:val="0AA131BB"/>
    <w:rsid w:val="0AADD8A1"/>
    <w:rsid w:val="0B082B43"/>
    <w:rsid w:val="0B46B601"/>
    <w:rsid w:val="0B58BB73"/>
    <w:rsid w:val="0B835430"/>
    <w:rsid w:val="0B8A446E"/>
    <w:rsid w:val="0BC4BFA9"/>
    <w:rsid w:val="0C1B1F4D"/>
    <w:rsid w:val="0C7BF768"/>
    <w:rsid w:val="0CB4FFE3"/>
    <w:rsid w:val="0CBF8235"/>
    <w:rsid w:val="0CC67B1A"/>
    <w:rsid w:val="0CD33FB7"/>
    <w:rsid w:val="0CDE3A12"/>
    <w:rsid w:val="0CF72358"/>
    <w:rsid w:val="0D019F31"/>
    <w:rsid w:val="0D1C3FC7"/>
    <w:rsid w:val="0DD37344"/>
    <w:rsid w:val="0E064B65"/>
    <w:rsid w:val="0E39AF32"/>
    <w:rsid w:val="0E7CA626"/>
    <w:rsid w:val="0E7DD71A"/>
    <w:rsid w:val="0ED7E29D"/>
    <w:rsid w:val="0EF16BB6"/>
    <w:rsid w:val="0F168F4B"/>
    <w:rsid w:val="0F263A78"/>
    <w:rsid w:val="0F42AEDC"/>
    <w:rsid w:val="0F49CAF8"/>
    <w:rsid w:val="0F581BC4"/>
    <w:rsid w:val="0F9B372B"/>
    <w:rsid w:val="0FDAB565"/>
    <w:rsid w:val="0FE84D7E"/>
    <w:rsid w:val="10471808"/>
    <w:rsid w:val="1056402C"/>
    <w:rsid w:val="10592130"/>
    <w:rsid w:val="105995CB"/>
    <w:rsid w:val="108A1610"/>
    <w:rsid w:val="10A34EC0"/>
    <w:rsid w:val="111029CC"/>
    <w:rsid w:val="111B9D0B"/>
    <w:rsid w:val="1126DC11"/>
    <w:rsid w:val="11423A64"/>
    <w:rsid w:val="1161BC39"/>
    <w:rsid w:val="119CC1DE"/>
    <w:rsid w:val="11CF3681"/>
    <w:rsid w:val="12284AF9"/>
    <w:rsid w:val="122F2CC2"/>
    <w:rsid w:val="12320DDE"/>
    <w:rsid w:val="12CA8DF9"/>
    <w:rsid w:val="12CD1120"/>
    <w:rsid w:val="12E66778"/>
    <w:rsid w:val="132D8306"/>
    <w:rsid w:val="13465F71"/>
    <w:rsid w:val="135AABB2"/>
    <w:rsid w:val="13E5DE94"/>
    <w:rsid w:val="14B4C31F"/>
    <w:rsid w:val="14BD6320"/>
    <w:rsid w:val="14D37EA6"/>
    <w:rsid w:val="14E4FE48"/>
    <w:rsid w:val="151146B0"/>
    <w:rsid w:val="15217212"/>
    <w:rsid w:val="1556D2DF"/>
    <w:rsid w:val="1567AE91"/>
    <w:rsid w:val="1575EF29"/>
    <w:rsid w:val="158D7734"/>
    <w:rsid w:val="15A344B8"/>
    <w:rsid w:val="15C9E099"/>
    <w:rsid w:val="16478407"/>
    <w:rsid w:val="166009EB"/>
    <w:rsid w:val="166274BD"/>
    <w:rsid w:val="1668972A"/>
    <w:rsid w:val="167A4EB8"/>
    <w:rsid w:val="167AF567"/>
    <w:rsid w:val="16BD095C"/>
    <w:rsid w:val="16DC83E9"/>
    <w:rsid w:val="170C746B"/>
    <w:rsid w:val="17239AB2"/>
    <w:rsid w:val="176BC76D"/>
    <w:rsid w:val="17A55C28"/>
    <w:rsid w:val="17C84A27"/>
    <w:rsid w:val="185CA8AF"/>
    <w:rsid w:val="1887326A"/>
    <w:rsid w:val="1921C669"/>
    <w:rsid w:val="199F9637"/>
    <w:rsid w:val="19B6DE4C"/>
    <w:rsid w:val="19D5D1F9"/>
    <w:rsid w:val="19D74544"/>
    <w:rsid w:val="1A093D9C"/>
    <w:rsid w:val="1A1DEAA9"/>
    <w:rsid w:val="1A2EBC64"/>
    <w:rsid w:val="1A506CB6"/>
    <w:rsid w:val="1A5467AB"/>
    <w:rsid w:val="1A669C43"/>
    <w:rsid w:val="1A8613F0"/>
    <w:rsid w:val="1AA433AE"/>
    <w:rsid w:val="1AC3A593"/>
    <w:rsid w:val="1AFF08BB"/>
    <w:rsid w:val="1B22FCFC"/>
    <w:rsid w:val="1B301BA5"/>
    <w:rsid w:val="1B80765C"/>
    <w:rsid w:val="1B8D704B"/>
    <w:rsid w:val="1B8DC318"/>
    <w:rsid w:val="1BB6554B"/>
    <w:rsid w:val="1BEAEB27"/>
    <w:rsid w:val="1BEB29F5"/>
    <w:rsid w:val="1BFA48E2"/>
    <w:rsid w:val="1C82161C"/>
    <w:rsid w:val="1C93D63A"/>
    <w:rsid w:val="1CCE5E10"/>
    <w:rsid w:val="1CDF9A49"/>
    <w:rsid w:val="1D18A59E"/>
    <w:rsid w:val="1D75AC21"/>
    <w:rsid w:val="1DA0902F"/>
    <w:rsid w:val="1DA0D0F8"/>
    <w:rsid w:val="1DCD9A09"/>
    <w:rsid w:val="1DD2B699"/>
    <w:rsid w:val="1E8CC74E"/>
    <w:rsid w:val="1E94CBC6"/>
    <w:rsid w:val="1EF9932F"/>
    <w:rsid w:val="1EF9EE79"/>
    <w:rsid w:val="1F11E43C"/>
    <w:rsid w:val="1F1F7680"/>
    <w:rsid w:val="1F7328F1"/>
    <w:rsid w:val="1F73F2BF"/>
    <w:rsid w:val="1F75A5B8"/>
    <w:rsid w:val="1F8EBAD9"/>
    <w:rsid w:val="1FB7A194"/>
    <w:rsid w:val="1FCE8FB9"/>
    <w:rsid w:val="1FEE0671"/>
    <w:rsid w:val="2090FD9F"/>
    <w:rsid w:val="20BD612F"/>
    <w:rsid w:val="20C231C7"/>
    <w:rsid w:val="20D3ECF1"/>
    <w:rsid w:val="2102149A"/>
    <w:rsid w:val="212FC699"/>
    <w:rsid w:val="214BA2B1"/>
    <w:rsid w:val="215ACEB3"/>
    <w:rsid w:val="21764AE7"/>
    <w:rsid w:val="217A6DB6"/>
    <w:rsid w:val="21A2E491"/>
    <w:rsid w:val="21BB0B02"/>
    <w:rsid w:val="21DB0431"/>
    <w:rsid w:val="21E39011"/>
    <w:rsid w:val="21E638F6"/>
    <w:rsid w:val="22419BD2"/>
    <w:rsid w:val="22AC17DA"/>
    <w:rsid w:val="22AF90DF"/>
    <w:rsid w:val="22B771BA"/>
    <w:rsid w:val="230B033C"/>
    <w:rsid w:val="231C6646"/>
    <w:rsid w:val="234783AB"/>
    <w:rsid w:val="234B72F3"/>
    <w:rsid w:val="2365B1CA"/>
    <w:rsid w:val="238466A7"/>
    <w:rsid w:val="23A59C72"/>
    <w:rsid w:val="23AAA1DF"/>
    <w:rsid w:val="23C75752"/>
    <w:rsid w:val="23E314A5"/>
    <w:rsid w:val="23EC49DB"/>
    <w:rsid w:val="2412CB9E"/>
    <w:rsid w:val="241445D3"/>
    <w:rsid w:val="242D4592"/>
    <w:rsid w:val="247708B5"/>
    <w:rsid w:val="24C4EB5D"/>
    <w:rsid w:val="24DE18BC"/>
    <w:rsid w:val="24EBBC70"/>
    <w:rsid w:val="25050278"/>
    <w:rsid w:val="25522F54"/>
    <w:rsid w:val="2552A1D0"/>
    <w:rsid w:val="25634B50"/>
    <w:rsid w:val="256BDB2E"/>
    <w:rsid w:val="257439AF"/>
    <w:rsid w:val="2579B537"/>
    <w:rsid w:val="25DD96B7"/>
    <w:rsid w:val="25E7BB90"/>
    <w:rsid w:val="25F9C394"/>
    <w:rsid w:val="2658B61E"/>
    <w:rsid w:val="2676A249"/>
    <w:rsid w:val="2687ABF3"/>
    <w:rsid w:val="26B3B1C4"/>
    <w:rsid w:val="26E61E24"/>
    <w:rsid w:val="27029CE5"/>
    <w:rsid w:val="2704AF86"/>
    <w:rsid w:val="27B1FB9F"/>
    <w:rsid w:val="27FCF17B"/>
    <w:rsid w:val="27FE709C"/>
    <w:rsid w:val="282AC338"/>
    <w:rsid w:val="282F9585"/>
    <w:rsid w:val="284AE2E4"/>
    <w:rsid w:val="2856093C"/>
    <w:rsid w:val="286EB9E8"/>
    <w:rsid w:val="28F75EF7"/>
    <w:rsid w:val="2940986D"/>
    <w:rsid w:val="29527251"/>
    <w:rsid w:val="29620AE5"/>
    <w:rsid w:val="29988D8D"/>
    <w:rsid w:val="2999134D"/>
    <w:rsid w:val="299CE01F"/>
    <w:rsid w:val="29A24793"/>
    <w:rsid w:val="29AC12C1"/>
    <w:rsid w:val="29D28476"/>
    <w:rsid w:val="2A1216E1"/>
    <w:rsid w:val="2A162761"/>
    <w:rsid w:val="2A4E1D0D"/>
    <w:rsid w:val="2ABE19CD"/>
    <w:rsid w:val="2ACE2EA8"/>
    <w:rsid w:val="2AF4408C"/>
    <w:rsid w:val="2B13C637"/>
    <w:rsid w:val="2B2D7EAE"/>
    <w:rsid w:val="2B38DEB7"/>
    <w:rsid w:val="2B6E53E4"/>
    <w:rsid w:val="2B7C2F86"/>
    <w:rsid w:val="2BF41BE0"/>
    <w:rsid w:val="2C01590D"/>
    <w:rsid w:val="2C05708F"/>
    <w:rsid w:val="2C06994A"/>
    <w:rsid w:val="2C0C0B9F"/>
    <w:rsid w:val="2C128C73"/>
    <w:rsid w:val="2C5E68EF"/>
    <w:rsid w:val="2CA5CA68"/>
    <w:rsid w:val="2CD47DB7"/>
    <w:rsid w:val="2CD4B96D"/>
    <w:rsid w:val="2CE7CC49"/>
    <w:rsid w:val="2CF2D093"/>
    <w:rsid w:val="2D0518CF"/>
    <w:rsid w:val="2D534767"/>
    <w:rsid w:val="2D84485B"/>
    <w:rsid w:val="2D87EE9E"/>
    <w:rsid w:val="2DE5FC1A"/>
    <w:rsid w:val="2E11659E"/>
    <w:rsid w:val="2E286211"/>
    <w:rsid w:val="2E3E94DF"/>
    <w:rsid w:val="2E675DA6"/>
    <w:rsid w:val="2EEBB39D"/>
    <w:rsid w:val="2F0C9C45"/>
    <w:rsid w:val="2F11C559"/>
    <w:rsid w:val="2F2DE54D"/>
    <w:rsid w:val="2F3F4ACE"/>
    <w:rsid w:val="2F4A05CE"/>
    <w:rsid w:val="2F681DB0"/>
    <w:rsid w:val="2F75A7EE"/>
    <w:rsid w:val="2F79AEF4"/>
    <w:rsid w:val="2FBBCDE0"/>
    <w:rsid w:val="2FC03D1A"/>
    <w:rsid w:val="2FCAE3C9"/>
    <w:rsid w:val="2FFD0F14"/>
    <w:rsid w:val="3024DADA"/>
    <w:rsid w:val="302A47EB"/>
    <w:rsid w:val="3047A70B"/>
    <w:rsid w:val="3077D006"/>
    <w:rsid w:val="30B1A37F"/>
    <w:rsid w:val="30CD7FC0"/>
    <w:rsid w:val="30F7E734"/>
    <w:rsid w:val="30FB4C27"/>
    <w:rsid w:val="30FB7EF9"/>
    <w:rsid w:val="311BF169"/>
    <w:rsid w:val="3155A70D"/>
    <w:rsid w:val="315B225E"/>
    <w:rsid w:val="3172E193"/>
    <w:rsid w:val="318CFF8D"/>
    <w:rsid w:val="31AE2A2C"/>
    <w:rsid w:val="31AE91CD"/>
    <w:rsid w:val="31C33DF7"/>
    <w:rsid w:val="31F96FC3"/>
    <w:rsid w:val="3206211E"/>
    <w:rsid w:val="320CC915"/>
    <w:rsid w:val="3217B5DB"/>
    <w:rsid w:val="321A927C"/>
    <w:rsid w:val="322FE105"/>
    <w:rsid w:val="32308966"/>
    <w:rsid w:val="32514466"/>
    <w:rsid w:val="32600851"/>
    <w:rsid w:val="326E5490"/>
    <w:rsid w:val="3288AA89"/>
    <w:rsid w:val="328AC0F5"/>
    <w:rsid w:val="32BF21D2"/>
    <w:rsid w:val="32D8C436"/>
    <w:rsid w:val="32E94B27"/>
    <w:rsid w:val="32E95574"/>
    <w:rsid w:val="3309BAF6"/>
    <w:rsid w:val="331A7A41"/>
    <w:rsid w:val="33719942"/>
    <w:rsid w:val="3376DFDC"/>
    <w:rsid w:val="337A497D"/>
    <w:rsid w:val="3398144D"/>
    <w:rsid w:val="33A1D0E1"/>
    <w:rsid w:val="33E24B15"/>
    <w:rsid w:val="33E4F245"/>
    <w:rsid w:val="33E8F976"/>
    <w:rsid w:val="33F11F38"/>
    <w:rsid w:val="341F3F24"/>
    <w:rsid w:val="34233A2D"/>
    <w:rsid w:val="343D976C"/>
    <w:rsid w:val="346213F6"/>
    <w:rsid w:val="34A423B1"/>
    <w:rsid w:val="34AFAC26"/>
    <w:rsid w:val="34C59BF0"/>
    <w:rsid w:val="3531BE8C"/>
    <w:rsid w:val="353CE74A"/>
    <w:rsid w:val="353F4E55"/>
    <w:rsid w:val="354E7C20"/>
    <w:rsid w:val="35515859"/>
    <w:rsid w:val="35532E64"/>
    <w:rsid w:val="35602488"/>
    <w:rsid w:val="35E3BDD5"/>
    <w:rsid w:val="35FD2102"/>
    <w:rsid w:val="36666EB9"/>
    <w:rsid w:val="36C308A2"/>
    <w:rsid w:val="36CE37B9"/>
    <w:rsid w:val="36E8DBF0"/>
    <w:rsid w:val="370AB9DD"/>
    <w:rsid w:val="374E4E97"/>
    <w:rsid w:val="375F7AF7"/>
    <w:rsid w:val="376DD876"/>
    <w:rsid w:val="378A8EF5"/>
    <w:rsid w:val="37F6EA04"/>
    <w:rsid w:val="38473628"/>
    <w:rsid w:val="3868BB65"/>
    <w:rsid w:val="38691965"/>
    <w:rsid w:val="3874CE80"/>
    <w:rsid w:val="38C51781"/>
    <w:rsid w:val="38FBA0B3"/>
    <w:rsid w:val="390C3C93"/>
    <w:rsid w:val="393FCF1C"/>
    <w:rsid w:val="39412AFE"/>
    <w:rsid w:val="3945543C"/>
    <w:rsid w:val="396A4F28"/>
    <w:rsid w:val="39B3127C"/>
    <w:rsid w:val="39C3AEA2"/>
    <w:rsid w:val="39E3C734"/>
    <w:rsid w:val="39FB5247"/>
    <w:rsid w:val="39FD9F5A"/>
    <w:rsid w:val="3A1442F3"/>
    <w:rsid w:val="3A400E61"/>
    <w:rsid w:val="3A649220"/>
    <w:rsid w:val="3A7ECCF0"/>
    <w:rsid w:val="3A9236B6"/>
    <w:rsid w:val="3AADB914"/>
    <w:rsid w:val="3B455ED4"/>
    <w:rsid w:val="3B544D05"/>
    <w:rsid w:val="3B5E2B55"/>
    <w:rsid w:val="3B6B088B"/>
    <w:rsid w:val="3B91B98B"/>
    <w:rsid w:val="3BA2FA4D"/>
    <w:rsid w:val="3BAC9DC9"/>
    <w:rsid w:val="3BF253D4"/>
    <w:rsid w:val="3C0E568E"/>
    <w:rsid w:val="3C0FF9EB"/>
    <w:rsid w:val="3C23761B"/>
    <w:rsid w:val="3C58CEAE"/>
    <w:rsid w:val="3C642A2B"/>
    <w:rsid w:val="3C6B6214"/>
    <w:rsid w:val="3C874D09"/>
    <w:rsid w:val="3CA1E52C"/>
    <w:rsid w:val="3D264E54"/>
    <w:rsid w:val="3D2D29DE"/>
    <w:rsid w:val="3D5F2C31"/>
    <w:rsid w:val="3D8E8A4B"/>
    <w:rsid w:val="3D909B3D"/>
    <w:rsid w:val="3D9B6787"/>
    <w:rsid w:val="3DC02968"/>
    <w:rsid w:val="3DC1D750"/>
    <w:rsid w:val="3E0B9BA5"/>
    <w:rsid w:val="3E215143"/>
    <w:rsid w:val="3E6ADA4A"/>
    <w:rsid w:val="3E8052CE"/>
    <w:rsid w:val="3EE2955B"/>
    <w:rsid w:val="3EF68570"/>
    <w:rsid w:val="3F3FDCFB"/>
    <w:rsid w:val="3F4729E6"/>
    <w:rsid w:val="3F492167"/>
    <w:rsid w:val="3F9ACB17"/>
    <w:rsid w:val="3FBEFF6C"/>
    <w:rsid w:val="40173CC1"/>
    <w:rsid w:val="4022AA68"/>
    <w:rsid w:val="4037DF9E"/>
    <w:rsid w:val="4042B047"/>
    <w:rsid w:val="40599C49"/>
    <w:rsid w:val="40607C97"/>
    <w:rsid w:val="4069D245"/>
    <w:rsid w:val="406FB62E"/>
    <w:rsid w:val="40E4C8AB"/>
    <w:rsid w:val="40F3A721"/>
    <w:rsid w:val="412A0787"/>
    <w:rsid w:val="412F8E14"/>
    <w:rsid w:val="41372F51"/>
    <w:rsid w:val="414F0BDC"/>
    <w:rsid w:val="4169694B"/>
    <w:rsid w:val="41A462EA"/>
    <w:rsid w:val="41D7A5B3"/>
    <w:rsid w:val="41DF20D1"/>
    <w:rsid w:val="41E8D438"/>
    <w:rsid w:val="41EF22CE"/>
    <w:rsid w:val="41FD55FA"/>
    <w:rsid w:val="4204CF25"/>
    <w:rsid w:val="420E7DE9"/>
    <w:rsid w:val="425A89E2"/>
    <w:rsid w:val="427B50CA"/>
    <w:rsid w:val="42C9C488"/>
    <w:rsid w:val="42D95E86"/>
    <w:rsid w:val="42E11ED7"/>
    <w:rsid w:val="431CA89F"/>
    <w:rsid w:val="43428095"/>
    <w:rsid w:val="434E0DD5"/>
    <w:rsid w:val="436281F8"/>
    <w:rsid w:val="438759B8"/>
    <w:rsid w:val="440B2D37"/>
    <w:rsid w:val="4414058B"/>
    <w:rsid w:val="4435776C"/>
    <w:rsid w:val="4476FDDC"/>
    <w:rsid w:val="44A97829"/>
    <w:rsid w:val="44E6AB0A"/>
    <w:rsid w:val="44E75203"/>
    <w:rsid w:val="450F23C0"/>
    <w:rsid w:val="4526E674"/>
    <w:rsid w:val="453E147B"/>
    <w:rsid w:val="4553BE91"/>
    <w:rsid w:val="457819C3"/>
    <w:rsid w:val="457DF78B"/>
    <w:rsid w:val="458D8FC9"/>
    <w:rsid w:val="459E5EC2"/>
    <w:rsid w:val="45A75D8F"/>
    <w:rsid w:val="46044E07"/>
    <w:rsid w:val="46047C8D"/>
    <w:rsid w:val="460997CA"/>
    <w:rsid w:val="464BDACC"/>
    <w:rsid w:val="468F680C"/>
    <w:rsid w:val="47008BD5"/>
    <w:rsid w:val="4709913B"/>
    <w:rsid w:val="471AE09C"/>
    <w:rsid w:val="4748972F"/>
    <w:rsid w:val="47659C13"/>
    <w:rsid w:val="4773AD9A"/>
    <w:rsid w:val="47F92A0E"/>
    <w:rsid w:val="47FAE6F6"/>
    <w:rsid w:val="480135B9"/>
    <w:rsid w:val="490361CB"/>
    <w:rsid w:val="492CA752"/>
    <w:rsid w:val="4950C39E"/>
    <w:rsid w:val="49630627"/>
    <w:rsid w:val="49759354"/>
    <w:rsid w:val="49B4BBC3"/>
    <w:rsid w:val="49B7D4FB"/>
    <w:rsid w:val="4A3F2FAE"/>
    <w:rsid w:val="4A440D51"/>
    <w:rsid w:val="4A5F64FD"/>
    <w:rsid w:val="4A8287AC"/>
    <w:rsid w:val="4A948D6E"/>
    <w:rsid w:val="4ADCE9FE"/>
    <w:rsid w:val="4AE08CF7"/>
    <w:rsid w:val="4B06A37C"/>
    <w:rsid w:val="4B54A7E1"/>
    <w:rsid w:val="4B58E2A2"/>
    <w:rsid w:val="4B78F662"/>
    <w:rsid w:val="4B7D8C14"/>
    <w:rsid w:val="4BA13D61"/>
    <w:rsid w:val="4BA4D1EA"/>
    <w:rsid w:val="4BA57E88"/>
    <w:rsid w:val="4BDFC7C9"/>
    <w:rsid w:val="4C0E165C"/>
    <w:rsid w:val="4C45226D"/>
    <w:rsid w:val="4C4F0BD3"/>
    <w:rsid w:val="4C7519BB"/>
    <w:rsid w:val="4C9DDEC2"/>
    <w:rsid w:val="4CA99FBD"/>
    <w:rsid w:val="4D04D72A"/>
    <w:rsid w:val="4D302F6A"/>
    <w:rsid w:val="4D571758"/>
    <w:rsid w:val="4D7F1510"/>
    <w:rsid w:val="4D8A39DB"/>
    <w:rsid w:val="4D9405C4"/>
    <w:rsid w:val="4DC430F9"/>
    <w:rsid w:val="4DC6EF54"/>
    <w:rsid w:val="4DECA9EF"/>
    <w:rsid w:val="4DECEEF6"/>
    <w:rsid w:val="4DF6BF58"/>
    <w:rsid w:val="4E03CB27"/>
    <w:rsid w:val="4E05D959"/>
    <w:rsid w:val="4E226D8A"/>
    <w:rsid w:val="4E5CE8F5"/>
    <w:rsid w:val="4E7A3A8A"/>
    <w:rsid w:val="4E95CEED"/>
    <w:rsid w:val="4EA9B0FE"/>
    <w:rsid w:val="4EB4B77F"/>
    <w:rsid w:val="4F09660D"/>
    <w:rsid w:val="4F24EB87"/>
    <w:rsid w:val="4F63C1CD"/>
    <w:rsid w:val="4F782AE9"/>
    <w:rsid w:val="4F80745B"/>
    <w:rsid w:val="4FC1CB2F"/>
    <w:rsid w:val="4FC39B16"/>
    <w:rsid w:val="4FF3EFB6"/>
    <w:rsid w:val="500BCE79"/>
    <w:rsid w:val="503F539B"/>
    <w:rsid w:val="504DF1A6"/>
    <w:rsid w:val="5071B7B5"/>
    <w:rsid w:val="50BC63C9"/>
    <w:rsid w:val="50CE7618"/>
    <w:rsid w:val="50D44A69"/>
    <w:rsid w:val="50D7D7E7"/>
    <w:rsid w:val="515E8283"/>
    <w:rsid w:val="51699413"/>
    <w:rsid w:val="5178F6F8"/>
    <w:rsid w:val="51B89588"/>
    <w:rsid w:val="51BA4FB7"/>
    <w:rsid w:val="52174397"/>
    <w:rsid w:val="5219941A"/>
    <w:rsid w:val="526C6405"/>
    <w:rsid w:val="528AC90D"/>
    <w:rsid w:val="528B7C5E"/>
    <w:rsid w:val="528D0E95"/>
    <w:rsid w:val="529015EC"/>
    <w:rsid w:val="52B10673"/>
    <w:rsid w:val="52BFF437"/>
    <w:rsid w:val="52C86968"/>
    <w:rsid w:val="52CBE45E"/>
    <w:rsid w:val="52E884E4"/>
    <w:rsid w:val="52F79632"/>
    <w:rsid w:val="52FAAD59"/>
    <w:rsid w:val="5301A1BD"/>
    <w:rsid w:val="530ABFD4"/>
    <w:rsid w:val="530EC147"/>
    <w:rsid w:val="533A97F5"/>
    <w:rsid w:val="533F8168"/>
    <w:rsid w:val="5345B9EA"/>
    <w:rsid w:val="53487261"/>
    <w:rsid w:val="535C8EBE"/>
    <w:rsid w:val="535D3775"/>
    <w:rsid w:val="53BA3764"/>
    <w:rsid w:val="53CCA527"/>
    <w:rsid w:val="5426B27F"/>
    <w:rsid w:val="5450BBB1"/>
    <w:rsid w:val="546B50B8"/>
    <w:rsid w:val="54B96FA1"/>
    <w:rsid w:val="54BA7D05"/>
    <w:rsid w:val="54D697EE"/>
    <w:rsid w:val="54EFD704"/>
    <w:rsid w:val="551C0439"/>
    <w:rsid w:val="5547782E"/>
    <w:rsid w:val="5566FC68"/>
    <w:rsid w:val="557B8C02"/>
    <w:rsid w:val="55836740"/>
    <w:rsid w:val="558FD1E9"/>
    <w:rsid w:val="5597BAE1"/>
    <w:rsid w:val="55B4C884"/>
    <w:rsid w:val="55C8C7F0"/>
    <w:rsid w:val="55CBE8B3"/>
    <w:rsid w:val="5678760D"/>
    <w:rsid w:val="56A15495"/>
    <w:rsid w:val="57166B0C"/>
    <w:rsid w:val="574ED12D"/>
    <w:rsid w:val="57773C7D"/>
    <w:rsid w:val="57B5BC28"/>
    <w:rsid w:val="58380374"/>
    <w:rsid w:val="584806CA"/>
    <w:rsid w:val="58517EF2"/>
    <w:rsid w:val="585AEDFA"/>
    <w:rsid w:val="58631424"/>
    <w:rsid w:val="58B0C85D"/>
    <w:rsid w:val="58B94A6C"/>
    <w:rsid w:val="58EBF896"/>
    <w:rsid w:val="592220BD"/>
    <w:rsid w:val="592C7A97"/>
    <w:rsid w:val="593DE0C6"/>
    <w:rsid w:val="5949ABC5"/>
    <w:rsid w:val="59621274"/>
    <w:rsid w:val="5988BF64"/>
    <w:rsid w:val="598B81CF"/>
    <w:rsid w:val="5A2FBDEF"/>
    <w:rsid w:val="5A40E8E3"/>
    <w:rsid w:val="5AC76B63"/>
    <w:rsid w:val="5AE2A3E9"/>
    <w:rsid w:val="5AF5CA34"/>
    <w:rsid w:val="5B14ECEA"/>
    <w:rsid w:val="5B452066"/>
    <w:rsid w:val="5B4C6454"/>
    <w:rsid w:val="5B67D5FA"/>
    <w:rsid w:val="5B6809FA"/>
    <w:rsid w:val="5B6F06F9"/>
    <w:rsid w:val="5BA5E297"/>
    <w:rsid w:val="5BAD0807"/>
    <w:rsid w:val="5C137509"/>
    <w:rsid w:val="5C291E03"/>
    <w:rsid w:val="5C52EA6A"/>
    <w:rsid w:val="5C540B8C"/>
    <w:rsid w:val="5CDBF43B"/>
    <w:rsid w:val="5CDE31EF"/>
    <w:rsid w:val="5D0446E4"/>
    <w:rsid w:val="5D163C90"/>
    <w:rsid w:val="5D1A5517"/>
    <w:rsid w:val="5D2AFD09"/>
    <w:rsid w:val="5D2FBC1F"/>
    <w:rsid w:val="5DD508B0"/>
    <w:rsid w:val="5E6AA9AF"/>
    <w:rsid w:val="5E6D3206"/>
    <w:rsid w:val="5E8107FF"/>
    <w:rsid w:val="5E908E84"/>
    <w:rsid w:val="5EAF6E74"/>
    <w:rsid w:val="5EECE7FC"/>
    <w:rsid w:val="5F5A5D1E"/>
    <w:rsid w:val="5F5D5E90"/>
    <w:rsid w:val="5F5DFA7E"/>
    <w:rsid w:val="5F8163AF"/>
    <w:rsid w:val="5F9CB829"/>
    <w:rsid w:val="5FE5D2ED"/>
    <w:rsid w:val="5FE79D4F"/>
    <w:rsid w:val="60187B78"/>
    <w:rsid w:val="6051E915"/>
    <w:rsid w:val="6051EBF9"/>
    <w:rsid w:val="6057D6C2"/>
    <w:rsid w:val="606CEFFF"/>
    <w:rsid w:val="607E9C69"/>
    <w:rsid w:val="60B11E6F"/>
    <w:rsid w:val="6103CC8A"/>
    <w:rsid w:val="6105B999"/>
    <w:rsid w:val="6136439D"/>
    <w:rsid w:val="61425E09"/>
    <w:rsid w:val="615579B0"/>
    <w:rsid w:val="6155EFF5"/>
    <w:rsid w:val="618D1E98"/>
    <w:rsid w:val="619B7605"/>
    <w:rsid w:val="61A12D87"/>
    <w:rsid w:val="61AB2DA2"/>
    <w:rsid w:val="61B91680"/>
    <w:rsid w:val="61C31D23"/>
    <w:rsid w:val="61F15365"/>
    <w:rsid w:val="620117D6"/>
    <w:rsid w:val="622FF52D"/>
    <w:rsid w:val="6266E2D9"/>
    <w:rsid w:val="62980CE3"/>
    <w:rsid w:val="62990B1B"/>
    <w:rsid w:val="6336B18F"/>
    <w:rsid w:val="634A3170"/>
    <w:rsid w:val="634EB7E4"/>
    <w:rsid w:val="6354F271"/>
    <w:rsid w:val="63C685E7"/>
    <w:rsid w:val="63D2F6E7"/>
    <w:rsid w:val="63D58371"/>
    <w:rsid w:val="63E5A332"/>
    <w:rsid w:val="6412A8FE"/>
    <w:rsid w:val="6442BE98"/>
    <w:rsid w:val="6442FA6F"/>
    <w:rsid w:val="6474304D"/>
    <w:rsid w:val="647488CF"/>
    <w:rsid w:val="64774A3D"/>
    <w:rsid w:val="647D76B5"/>
    <w:rsid w:val="648940AE"/>
    <w:rsid w:val="649A1309"/>
    <w:rsid w:val="64CB0DBD"/>
    <w:rsid w:val="64DD3DDE"/>
    <w:rsid w:val="64F084E6"/>
    <w:rsid w:val="6502625F"/>
    <w:rsid w:val="6503E5B5"/>
    <w:rsid w:val="651BF5DE"/>
    <w:rsid w:val="652949BE"/>
    <w:rsid w:val="65745F24"/>
    <w:rsid w:val="65A18174"/>
    <w:rsid w:val="65B08424"/>
    <w:rsid w:val="65C5B3DD"/>
    <w:rsid w:val="65D3B8B0"/>
    <w:rsid w:val="65F07B85"/>
    <w:rsid w:val="6614B914"/>
    <w:rsid w:val="6696EF38"/>
    <w:rsid w:val="669AA962"/>
    <w:rsid w:val="669DEE20"/>
    <w:rsid w:val="6718DD86"/>
    <w:rsid w:val="67323253"/>
    <w:rsid w:val="6768C236"/>
    <w:rsid w:val="67A1460F"/>
    <w:rsid w:val="67A9BE41"/>
    <w:rsid w:val="6869E5FD"/>
    <w:rsid w:val="68AD889F"/>
    <w:rsid w:val="68B5D1EE"/>
    <w:rsid w:val="68B615B9"/>
    <w:rsid w:val="68BCF0C3"/>
    <w:rsid w:val="68BE0FF4"/>
    <w:rsid w:val="68C053B1"/>
    <w:rsid w:val="68D3A8FE"/>
    <w:rsid w:val="6912F2AE"/>
    <w:rsid w:val="692DD0B0"/>
    <w:rsid w:val="694EED0D"/>
    <w:rsid w:val="695ED993"/>
    <w:rsid w:val="69600099"/>
    <w:rsid w:val="69634EE9"/>
    <w:rsid w:val="6989DF7F"/>
    <w:rsid w:val="699A49D0"/>
    <w:rsid w:val="699AD7AA"/>
    <w:rsid w:val="69B05448"/>
    <w:rsid w:val="69B7B57F"/>
    <w:rsid w:val="69D9E508"/>
    <w:rsid w:val="69E64645"/>
    <w:rsid w:val="69FD687F"/>
    <w:rsid w:val="6A18437D"/>
    <w:rsid w:val="6A71E820"/>
    <w:rsid w:val="6AD52E35"/>
    <w:rsid w:val="6AF603D9"/>
    <w:rsid w:val="6AFDA953"/>
    <w:rsid w:val="6B08CD75"/>
    <w:rsid w:val="6B41DA6E"/>
    <w:rsid w:val="6B4C8F8A"/>
    <w:rsid w:val="6B4FBE0C"/>
    <w:rsid w:val="6BBB0605"/>
    <w:rsid w:val="6BEB214D"/>
    <w:rsid w:val="6C524EA0"/>
    <w:rsid w:val="6CA34C03"/>
    <w:rsid w:val="6CEA7067"/>
    <w:rsid w:val="6D28F4C7"/>
    <w:rsid w:val="6D4F5673"/>
    <w:rsid w:val="6D546EEE"/>
    <w:rsid w:val="6D693FDB"/>
    <w:rsid w:val="6D6BE743"/>
    <w:rsid w:val="6D869D7E"/>
    <w:rsid w:val="6D94B20A"/>
    <w:rsid w:val="6DA5B0DD"/>
    <w:rsid w:val="6DB21E0E"/>
    <w:rsid w:val="6DD94200"/>
    <w:rsid w:val="6E22E207"/>
    <w:rsid w:val="6E369CFB"/>
    <w:rsid w:val="6E7543F8"/>
    <w:rsid w:val="6E8DA242"/>
    <w:rsid w:val="6EF40EFD"/>
    <w:rsid w:val="6F00D136"/>
    <w:rsid w:val="6F1D5C80"/>
    <w:rsid w:val="6F258A88"/>
    <w:rsid w:val="6F35390F"/>
    <w:rsid w:val="6F3B6667"/>
    <w:rsid w:val="6F4DEFFF"/>
    <w:rsid w:val="6F6451A3"/>
    <w:rsid w:val="6F81FDBF"/>
    <w:rsid w:val="6FC0509F"/>
    <w:rsid w:val="6FC425F9"/>
    <w:rsid w:val="6FC58B8D"/>
    <w:rsid w:val="6FF8D2F4"/>
    <w:rsid w:val="7015C511"/>
    <w:rsid w:val="704340F0"/>
    <w:rsid w:val="70516766"/>
    <w:rsid w:val="705C89B6"/>
    <w:rsid w:val="708A46EC"/>
    <w:rsid w:val="709EF87E"/>
    <w:rsid w:val="709F1AC6"/>
    <w:rsid w:val="70B6B03C"/>
    <w:rsid w:val="70BF535A"/>
    <w:rsid w:val="710702C5"/>
    <w:rsid w:val="7115980D"/>
    <w:rsid w:val="71182261"/>
    <w:rsid w:val="712F6489"/>
    <w:rsid w:val="716C8E4D"/>
    <w:rsid w:val="717355FA"/>
    <w:rsid w:val="717F2D93"/>
    <w:rsid w:val="71A85D3B"/>
    <w:rsid w:val="71DAD113"/>
    <w:rsid w:val="71F2885E"/>
    <w:rsid w:val="7203BCAE"/>
    <w:rsid w:val="721D9BD3"/>
    <w:rsid w:val="7260AB33"/>
    <w:rsid w:val="7268266B"/>
    <w:rsid w:val="7272A8BD"/>
    <w:rsid w:val="7294872E"/>
    <w:rsid w:val="72C154C4"/>
    <w:rsid w:val="72DC9FBB"/>
    <w:rsid w:val="72E85588"/>
    <w:rsid w:val="7308AD84"/>
    <w:rsid w:val="736E0D2F"/>
    <w:rsid w:val="739FA57B"/>
    <w:rsid w:val="73C4B425"/>
    <w:rsid w:val="73E3354C"/>
    <w:rsid w:val="743A1D0B"/>
    <w:rsid w:val="74597C1E"/>
    <w:rsid w:val="7489E5AB"/>
    <w:rsid w:val="74CB808B"/>
    <w:rsid w:val="75A95401"/>
    <w:rsid w:val="75FA73AC"/>
    <w:rsid w:val="7625A3A0"/>
    <w:rsid w:val="7643625B"/>
    <w:rsid w:val="764DAA04"/>
    <w:rsid w:val="76855687"/>
    <w:rsid w:val="7687DE1D"/>
    <w:rsid w:val="76A7D3FD"/>
    <w:rsid w:val="77120451"/>
    <w:rsid w:val="77243149"/>
    <w:rsid w:val="77336775"/>
    <w:rsid w:val="7744A5BC"/>
    <w:rsid w:val="7764872A"/>
    <w:rsid w:val="777EF2A7"/>
    <w:rsid w:val="778B27BB"/>
    <w:rsid w:val="77CB1797"/>
    <w:rsid w:val="77CD4500"/>
    <w:rsid w:val="77E03226"/>
    <w:rsid w:val="7801A1AF"/>
    <w:rsid w:val="783C1EB8"/>
    <w:rsid w:val="78440FFC"/>
    <w:rsid w:val="78BBC1D4"/>
    <w:rsid w:val="78CD0D63"/>
    <w:rsid w:val="78DEDD5F"/>
    <w:rsid w:val="7928B408"/>
    <w:rsid w:val="794DB85B"/>
    <w:rsid w:val="79760E9D"/>
    <w:rsid w:val="79A682C0"/>
    <w:rsid w:val="79AB52E3"/>
    <w:rsid w:val="79E588A2"/>
    <w:rsid w:val="79EC8381"/>
    <w:rsid w:val="7A0CA2AB"/>
    <w:rsid w:val="7A2D8A07"/>
    <w:rsid w:val="7A67554A"/>
    <w:rsid w:val="7AB4BD81"/>
    <w:rsid w:val="7B2A7EE1"/>
    <w:rsid w:val="7B50EEF5"/>
    <w:rsid w:val="7B6AF050"/>
    <w:rsid w:val="7BB54233"/>
    <w:rsid w:val="7BCBBB90"/>
    <w:rsid w:val="7BD6545B"/>
    <w:rsid w:val="7C06FD92"/>
    <w:rsid w:val="7C0B9D18"/>
    <w:rsid w:val="7C258688"/>
    <w:rsid w:val="7C5475BC"/>
    <w:rsid w:val="7C60E6C9"/>
    <w:rsid w:val="7CC0BB96"/>
    <w:rsid w:val="7CE54E76"/>
    <w:rsid w:val="7CEB8306"/>
    <w:rsid w:val="7CF7D6FC"/>
    <w:rsid w:val="7D05A51C"/>
    <w:rsid w:val="7D5E1A7D"/>
    <w:rsid w:val="7D717A63"/>
    <w:rsid w:val="7D8427A3"/>
    <w:rsid w:val="7DF2B43F"/>
    <w:rsid w:val="7E14E1AD"/>
    <w:rsid w:val="7E302051"/>
    <w:rsid w:val="7E8808B0"/>
    <w:rsid w:val="7ECC2636"/>
    <w:rsid w:val="7ED16BD2"/>
    <w:rsid w:val="7EE4F649"/>
    <w:rsid w:val="7EF68AB5"/>
    <w:rsid w:val="7F12B454"/>
    <w:rsid w:val="7F2EA7D3"/>
    <w:rsid w:val="7F67B9D2"/>
    <w:rsid w:val="7F6FE6D0"/>
    <w:rsid w:val="7FA989CB"/>
    <w:rsid w:val="7FC18F5A"/>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709F24EC-CA9F-42E1-9824-E017774D253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lsdException w:name="toc 4" w:uiPriority="1" w:semiHidden="1" w:unhideWhenUsed="1" w:qFormat="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441A7"/>
    <w:pPr>
      <w:spacing w:after="200" w:line="276" w:lineRule="auto"/>
    </w:pPr>
  </w:style>
  <w:style w:type="paragraph" w:styleId="Heading1">
    <w:name w:val="heading 1"/>
    <w:basedOn w:val="Normal"/>
    <w:next w:val="Normal"/>
    <w:link w:val="Heading1Char"/>
    <w:uiPriority w:val="9"/>
    <w:qFormat/>
    <w:rsid w:val="0089704E"/>
    <w:pPr>
      <w:keepNext/>
      <w:keepLines/>
      <w:numPr>
        <w:numId w:val="32"/>
      </w:numPr>
      <w:spacing w:before="240" w:after="0"/>
      <w:outlineLvl w:val="0"/>
    </w:pPr>
    <w:rPr>
      <w:rFonts w:asciiTheme="majorHAnsi" w:hAnsiTheme="majorHAnsi" w:eastAsiaTheme="majorEastAsia" w:cstheme="majorBidi"/>
      <w:b/>
      <w:color w:val="000000" w:themeColor="text1"/>
      <w:szCs w:val="32"/>
    </w:rPr>
  </w:style>
  <w:style w:type="paragraph" w:styleId="Heading2">
    <w:name w:val="heading 2"/>
    <w:basedOn w:val="Normal"/>
    <w:next w:val="Normal"/>
    <w:link w:val="Heading2Char"/>
    <w:uiPriority w:val="9"/>
    <w:unhideWhenUsed/>
    <w:qFormat/>
    <w:rsid w:val="00E03187"/>
    <w:pPr>
      <w:keepNext/>
      <w:keepLines/>
      <w:spacing w:before="40" w:after="0"/>
      <w:jc w:val="both"/>
      <w:outlineLvl w:val="1"/>
    </w:pPr>
    <w:rPr>
      <w:rFonts w:asciiTheme="majorHAnsi" w:hAnsiTheme="majorHAnsi" w:eastAsiaTheme="majorEastAsia" w:cstheme="majorBidi"/>
      <w:b/>
      <w:color w:val="000000" w:themeColor="text1"/>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89704E"/>
    <w:rPr>
      <w:rFonts w:asciiTheme="majorHAnsi" w:hAnsiTheme="majorHAnsi" w:eastAsiaTheme="majorEastAsia" w:cstheme="majorBidi"/>
      <w:b/>
      <w:color w:val="000000" w:themeColor="text1"/>
      <w:szCs w:val="32"/>
    </w:rPr>
  </w:style>
  <w:style w:type="character" w:styleId="HeaderChar" w:customStyle="1">
    <w:name w:val="Header Char"/>
    <w:basedOn w:val="DefaultParagraphFont"/>
    <w:link w:val="Header"/>
    <w:uiPriority w:val="99"/>
    <w:qFormat/>
    <w:rsid w:val="004B5EF3"/>
  </w:style>
  <w:style w:type="paragraph" w:styleId="Header">
    <w:name w:val="header"/>
    <w:basedOn w:val="Normal"/>
    <w:link w:val="HeaderChar"/>
    <w:uiPriority w:val="99"/>
    <w:unhideWhenUsed/>
    <w:rsid w:val="004B5EF3"/>
    <w:pPr>
      <w:tabs>
        <w:tab w:val="center" w:pos="4419"/>
        <w:tab w:val="right" w:pos="8838"/>
      </w:tabs>
      <w:spacing w:after="0" w:line="240" w:lineRule="auto"/>
    </w:pPr>
  </w:style>
  <w:style w:type="character" w:styleId="FooterChar" w:customStyle="1">
    <w:name w:val="Footer Char"/>
    <w:basedOn w:val="DefaultParagraphFont"/>
    <w:link w:val="Footer"/>
    <w:uiPriority w:val="99"/>
    <w:qFormat/>
    <w:rsid w:val="004B5EF3"/>
  </w:style>
  <w:style w:type="paragraph" w:styleId="Footer">
    <w:name w:val="footer"/>
    <w:basedOn w:val="Normal"/>
    <w:link w:val="FooterChar"/>
    <w:uiPriority w:val="99"/>
    <w:unhideWhenUsed/>
    <w:rsid w:val="004B5EF3"/>
    <w:pPr>
      <w:tabs>
        <w:tab w:val="center" w:pos="4419"/>
        <w:tab w:val="right" w:pos="8838"/>
      </w:tabs>
      <w:spacing w:after="0" w:line="240" w:lineRule="auto"/>
    </w:pPr>
  </w:style>
  <w:style w:type="character" w:styleId="BodyTextChar" w:customStyle="1">
    <w:name w:val="Body Text Char"/>
    <w:basedOn w:val="DefaultParagraphFont"/>
    <w:link w:val="BodyText"/>
    <w:qFormat/>
    <w:rsid w:val="004B5EF3"/>
    <w:rPr>
      <w:rFonts w:ascii="Arial" w:hAnsi="Arial" w:eastAsia="Times New Roman" w:cs="Times New Roman"/>
      <w:sz w:val="24"/>
      <w:szCs w:val="20"/>
      <w:lang w:val="es-ES_tradnl" w:eastAsia="es-ES"/>
    </w:rPr>
  </w:style>
  <w:style w:type="paragraph" w:styleId="BodyText">
    <w:name w:val="Body Text"/>
    <w:basedOn w:val="Normal"/>
    <w:link w:val="BodyTextChar"/>
    <w:rsid w:val="004B5EF3"/>
    <w:pPr>
      <w:spacing w:after="0" w:line="240" w:lineRule="auto"/>
      <w:jc w:val="both"/>
    </w:pPr>
    <w:rPr>
      <w:rFonts w:ascii="Arial" w:hAnsi="Arial" w:eastAsia="Times New Roman" w:cs="Times New Roman"/>
      <w:sz w:val="24"/>
      <w:szCs w:val="20"/>
      <w:lang w:val="es-ES_tradnl" w:eastAsia="es-ES"/>
    </w:rPr>
  </w:style>
  <w:style w:type="character" w:styleId="TextoindependienteCar1" w:customStyle="1">
    <w:name w:val="Texto independiente Car1"/>
    <w:basedOn w:val="DefaultParagraphFont"/>
    <w:uiPriority w:val="99"/>
    <w:semiHidden/>
    <w:qFormat/>
    <w:rsid w:val="004B5EF3"/>
  </w:style>
  <w:style w:type="character" w:styleId="EncabezadoCar1" w:customStyle="1">
    <w:name w:val="Encabezado Car1"/>
    <w:basedOn w:val="DefaultParagraphFont"/>
    <w:uiPriority w:val="99"/>
    <w:semiHidden/>
    <w:qFormat/>
    <w:rsid w:val="004B5EF3"/>
  </w:style>
  <w:style w:type="character" w:styleId="PiedepginaCar1" w:customStyle="1">
    <w:name w:val="Pie de página Car1"/>
    <w:basedOn w:val="DefaultParagraphFont"/>
    <w:uiPriority w:val="99"/>
    <w:semiHidden/>
    <w:qFormat/>
    <w:rsid w:val="004B5EF3"/>
  </w:style>
  <w:style w:type="paragraph" w:styleId="Ttulo1" w:customStyle="1">
    <w:name w:val="Título1"/>
    <w:basedOn w:val="Normal"/>
    <w:next w:val="BodyText"/>
    <w:qFormat/>
    <w:rsid w:val="0089704E"/>
    <w:pPr>
      <w:keepNext/>
      <w:spacing w:before="240" w:after="120"/>
      <w:jc w:val="center"/>
    </w:pPr>
    <w:rPr>
      <w:rFonts w:eastAsia="Bitstream Vera Sans" w:cs="FreeSans" w:asciiTheme="majorHAnsi" w:hAnsiTheme="majorHAnsi"/>
      <w:b/>
      <w:szCs w:val="28"/>
    </w:rPr>
  </w:style>
  <w:style w:type="paragraph" w:styleId="List">
    <w:name w:val="List"/>
    <w:basedOn w:val="BodyText"/>
    <w:rPr>
      <w:rFonts w:cs="FreeSans"/>
    </w:rPr>
  </w:style>
  <w:style w:type="paragraph" w:styleId="Caption">
    <w:name w:val="caption"/>
    <w:basedOn w:val="Normal"/>
    <w:uiPriority w:val="35"/>
    <w:qFormat/>
    <w:pPr>
      <w:suppressLineNumbers/>
      <w:spacing w:before="120" w:after="120"/>
    </w:pPr>
    <w:rPr>
      <w:rFonts w:cs="FreeSans"/>
      <w:i/>
      <w:iCs/>
      <w:sz w:val="24"/>
      <w:szCs w:val="24"/>
    </w:rPr>
  </w:style>
  <w:style w:type="paragraph" w:styleId="ndice" w:customStyle="1">
    <w:name w:val="Índice"/>
    <w:basedOn w:val="Normal"/>
    <w:qFormat/>
    <w:pPr>
      <w:suppressLineNumbers/>
    </w:pPr>
    <w:rPr>
      <w:rFonts w:cs="FreeSans"/>
    </w:rPr>
  </w:style>
  <w:style w:type="paragraph" w:styleId="Cabeceraypie" w:customStyle="1">
    <w:name w:val="Cabecera y pie"/>
    <w:basedOn w:val="Normal"/>
    <w:qFormat/>
  </w:style>
  <w:style w:type="paragraph" w:styleId="Contenidodelatabla" w:customStyle="1">
    <w:name w:val="Contenido de la tabla"/>
    <w:basedOn w:val="Normal"/>
    <w:qFormat/>
    <w:pPr>
      <w:widowControl w:val="0"/>
      <w:suppressLineNumbers/>
    </w:pPr>
  </w:style>
  <w:style w:type="paragraph" w:styleId="Ttulodelatabla" w:customStyle="1">
    <w:name w:val="Título de la tabla"/>
    <w:basedOn w:val="Contenidodelatabla"/>
    <w:qFormat/>
    <w:pPr>
      <w:jc w:val="center"/>
    </w:pPr>
    <w:rPr>
      <w:b/>
      <w:bCs/>
    </w:rPr>
  </w:style>
  <w:style w:type="paragraph" w:styleId="ListParagraph">
    <w:name w:val="List Paragraph"/>
    <w:aliases w:val="Scitum normal,Bullet List,FooterText,numbered,List Paragraph1,Paragraphe de liste1,lp1,Título 1.,subcapitulo,HOJA,Colorful List Accent 1,Colorful List - Accent 11,Lista vistosa - Énfasis 11,Bulletr List Paragraph,Foot,列出段落,列出段落1,リスト段落1"/>
    <w:basedOn w:val="Normal"/>
    <w:link w:val="ListParagraphChar"/>
    <w:uiPriority w:val="34"/>
    <w:qFormat/>
    <w:rsid w:val="0078569D"/>
    <w:pPr>
      <w:suppressAutoHyphens w:val="0"/>
      <w:spacing w:after="160" w:line="259" w:lineRule="auto"/>
      <w:ind w:left="720"/>
      <w:contextualSpacing/>
    </w:pPr>
  </w:style>
  <w:style w:type="character" w:styleId="ListParagraphChar" w:customStyle="1">
    <w:name w:val="List Paragraph Char"/>
    <w:aliases w:val="Scitum normal Char,Bullet List Char,FooterText Char,numbered Char,List Paragraph1 Char,Paragraphe de liste1 Char,lp1 Char,Título 1. Char,subcapitulo Char,HOJA Char,Colorful List Accent 1 Char,Colorful List - Accent 11 Char,Foot Char"/>
    <w:basedOn w:val="DefaultParagraphFont"/>
    <w:link w:val="ListParagraph"/>
    <w:uiPriority w:val="34"/>
    <w:rsid w:val="003C1F3A"/>
  </w:style>
  <w:style w:type="table" w:styleId="ListTable2">
    <w:name w:val="List Table 2"/>
    <w:basedOn w:val="TableNormal"/>
    <w:uiPriority w:val="47"/>
    <w:rsid w:val="00E92665"/>
    <w:pPr>
      <w:suppressAutoHyphens w:val="0"/>
    </w:pPr>
    <w:rPr>
      <w:rFonts w:ascii="Times New Roman" w:hAnsi="Times New Roman" w:eastAsia="Times New Roman" w:cs="Times New Roman"/>
      <w:sz w:val="20"/>
      <w:szCs w:val="20"/>
      <w:lang w:val="es-ES" w:eastAsia="es-ES"/>
    </w:rPr>
    <w:tblPr>
      <w:tblStyleRowBandSize w:val="1"/>
      <w:tblStyleColBandSize w:val="1"/>
      <w:tblBorders>
        <w:top w:val="single" w:color="666666" w:themeColor="text1" w:themeTint="99" w:sz="4" w:space="0"/>
        <w:bottom w:val="single" w:color="666666" w:themeColor="text1" w:themeTint="99" w:sz="4" w:space="0"/>
        <w:insideH w:val="single" w:color="666666" w:themeColor="tex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919F7"/>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color="666666" w:themeColor="text1" w:themeTint="99" w:sz="4" w:space="0"/>
        </w:tcBorders>
      </w:tcPr>
    </w:tblStylePr>
    <w:tblStylePr w:type="nwCell">
      <w:tblPr/>
      <w:tcPr>
        <w:tcBorders>
          <w:bottom w:val="single" w:color="666666" w:themeColor="text1" w:themeTint="99" w:sz="4" w:space="0"/>
        </w:tcBorders>
      </w:tcPr>
    </w:tblStylePr>
    <w:tblStylePr w:type="seCell">
      <w:tblPr/>
      <w:tcPr>
        <w:tcBorders>
          <w:top w:val="single" w:color="666666" w:themeColor="text1" w:themeTint="99" w:sz="4" w:space="0"/>
        </w:tcBorders>
      </w:tcPr>
    </w:tblStylePr>
    <w:tblStylePr w:type="swCell">
      <w:tblPr/>
      <w:tcPr>
        <w:tcBorders>
          <w:top w:val="single" w:color="666666" w:themeColor="text1" w:themeTint="99" w:sz="4" w:space="0"/>
        </w:tcBorders>
      </w:tcPr>
    </w:tblStylePr>
  </w:style>
  <w:style w:type="paragraph" w:styleId="TableParagraph" w:customStyle="1">
    <w:name w:val="Table Paragraph"/>
    <w:basedOn w:val="Normal"/>
    <w:uiPriority w:val="1"/>
    <w:qFormat/>
    <w:rsid w:val="00B5475A"/>
    <w:pPr>
      <w:widowControl w:val="0"/>
      <w:suppressAutoHyphens w:val="0"/>
      <w:autoSpaceDE w:val="0"/>
      <w:autoSpaceDN w:val="0"/>
      <w:spacing w:after="0" w:line="240" w:lineRule="auto"/>
    </w:pPr>
    <w:rPr>
      <w:rFonts w:ascii="Calibri" w:hAnsi="Calibri" w:eastAsia="Calibri" w:cs="Calibri"/>
      <w:lang w:val="es-ES"/>
    </w:rPr>
  </w:style>
  <w:style w:type="paragraph" w:styleId="TOC1">
    <w:name w:val="toc 1"/>
    <w:basedOn w:val="Normal"/>
    <w:uiPriority w:val="39"/>
    <w:qFormat/>
    <w:rsid w:val="00B5475A"/>
    <w:pPr>
      <w:widowControl w:val="0"/>
      <w:suppressAutoHyphens w:val="0"/>
      <w:autoSpaceDE w:val="0"/>
      <w:autoSpaceDN w:val="0"/>
      <w:spacing w:before="101" w:after="0" w:line="240" w:lineRule="auto"/>
      <w:ind w:left="574" w:right="11" w:hanging="574"/>
    </w:pPr>
    <w:rPr>
      <w:rFonts w:ascii="Calibri" w:hAnsi="Calibri" w:eastAsia="Calibri" w:cs="Calibri"/>
      <w:b/>
      <w:bCs/>
      <w:sz w:val="24"/>
      <w:szCs w:val="24"/>
      <w:lang w:val="es-ES"/>
    </w:rPr>
  </w:style>
  <w:style w:type="paragraph" w:styleId="TOC2">
    <w:name w:val="toc 2"/>
    <w:basedOn w:val="Normal"/>
    <w:uiPriority w:val="39"/>
    <w:qFormat/>
    <w:rsid w:val="00B5475A"/>
    <w:pPr>
      <w:widowControl w:val="0"/>
      <w:suppressAutoHyphens w:val="0"/>
      <w:autoSpaceDE w:val="0"/>
      <w:autoSpaceDN w:val="0"/>
      <w:spacing w:before="100" w:after="0" w:line="240" w:lineRule="auto"/>
      <w:ind w:left="574" w:hanging="440"/>
    </w:pPr>
    <w:rPr>
      <w:rFonts w:ascii="Calibri" w:hAnsi="Calibri" w:eastAsia="Calibri" w:cs="Calibri"/>
      <w:b/>
      <w:bCs/>
      <w:sz w:val="24"/>
      <w:szCs w:val="24"/>
      <w:lang w:val="es-ES"/>
    </w:rPr>
  </w:style>
  <w:style w:type="paragraph" w:styleId="TOC4">
    <w:name w:val="toc 4"/>
    <w:basedOn w:val="Normal"/>
    <w:uiPriority w:val="1"/>
    <w:qFormat/>
    <w:rsid w:val="00B5475A"/>
    <w:pPr>
      <w:widowControl w:val="0"/>
      <w:suppressAutoHyphens w:val="0"/>
      <w:autoSpaceDE w:val="0"/>
      <w:autoSpaceDN w:val="0"/>
      <w:spacing w:after="0" w:line="240" w:lineRule="auto"/>
      <w:ind w:left="574"/>
    </w:pPr>
    <w:rPr>
      <w:rFonts w:ascii="Calibri" w:hAnsi="Calibri" w:eastAsia="Calibri" w:cs="Calibri"/>
      <w:sz w:val="24"/>
      <w:szCs w:val="24"/>
      <w:lang w:val="es-ES"/>
    </w:rPr>
  </w:style>
  <w:style w:type="paragraph" w:styleId="FootnoteText">
    <w:name w:val="footnote text"/>
    <w:basedOn w:val="Normal"/>
    <w:link w:val="FootnoteTextChar"/>
    <w:uiPriority w:val="99"/>
    <w:semiHidden/>
    <w:unhideWhenUsed/>
    <w:rsid w:val="00E67C40"/>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E67C40"/>
    <w:rPr>
      <w:sz w:val="20"/>
      <w:szCs w:val="20"/>
    </w:rPr>
  </w:style>
  <w:style w:type="character" w:styleId="FootnoteReference">
    <w:name w:val="footnote reference"/>
    <w:basedOn w:val="DefaultParagraphFont"/>
    <w:uiPriority w:val="99"/>
    <w:semiHidden/>
    <w:unhideWhenUsed/>
    <w:rsid w:val="00E67C40"/>
    <w:rPr>
      <w:vertAlign w:val="superscript"/>
    </w:rPr>
  </w:style>
  <w:style w:type="character" w:styleId="UnresolvedMention">
    <w:name w:val="Unresolved Mention"/>
    <w:basedOn w:val="DefaultParagraphFont"/>
    <w:uiPriority w:val="99"/>
    <w:semiHidden/>
    <w:unhideWhenUsed/>
    <w:rsid w:val="00C54951"/>
    <w:rPr>
      <w:color w:val="605E5C"/>
      <w:shd w:val="clear" w:color="auto" w:fill="E1DFDD"/>
    </w:rPr>
  </w:style>
  <w:style w:type="paragraph" w:styleId="TOCHeading">
    <w:name w:val="TOC Heading"/>
    <w:basedOn w:val="Heading1"/>
    <w:next w:val="Normal"/>
    <w:uiPriority w:val="39"/>
    <w:unhideWhenUsed/>
    <w:qFormat/>
    <w:rsid w:val="00856AE3"/>
    <w:pPr>
      <w:suppressAutoHyphens w:val="0"/>
      <w:spacing w:line="259" w:lineRule="auto"/>
      <w:outlineLvl w:val="9"/>
    </w:pPr>
    <w:rPr>
      <w:lang w:eastAsia="es-CO"/>
    </w:rPr>
  </w:style>
  <w:style w:type="paragraph" w:styleId="TOC3">
    <w:name w:val="toc 3"/>
    <w:basedOn w:val="Normal"/>
    <w:next w:val="Normal"/>
    <w:autoRedefine/>
    <w:uiPriority w:val="39"/>
    <w:unhideWhenUsed/>
    <w:rsid w:val="00856AE3"/>
    <w:pPr>
      <w:suppressAutoHyphens w:val="0"/>
      <w:spacing w:after="100" w:line="259" w:lineRule="auto"/>
      <w:ind w:left="440"/>
    </w:pPr>
    <w:rPr>
      <w:rFonts w:cs="Times New Roman" w:eastAsiaTheme="minorEastAsia"/>
      <w:lang w:eastAsia="es-CO"/>
    </w:rPr>
  </w:style>
  <w:style w:type="character" w:styleId="Hyperlink">
    <w:name w:val="Hyperlink"/>
    <w:basedOn w:val="DefaultParagraphFont"/>
    <w:uiPriority w:val="99"/>
    <w:unhideWhenUsed/>
    <w:rsid w:val="00856AE3"/>
    <w:rPr>
      <w:color w:val="0563C1" w:themeColor="hyperlink"/>
      <w:u w:val="single"/>
    </w:rPr>
  </w:style>
  <w:style w:type="paragraph" w:styleId="Revision">
    <w:name w:val="Revision"/>
    <w:hidden/>
    <w:uiPriority w:val="99"/>
    <w:semiHidden/>
    <w:rsid w:val="004F4FF8"/>
    <w:pPr>
      <w:suppressAutoHyphens w:val="0"/>
    </w:pPr>
  </w:style>
  <w:style w:type="paragraph" w:styleId="Default" w:customStyle="1">
    <w:name w:val="Default"/>
    <w:rsid w:val="004F4FF8"/>
    <w:pPr>
      <w:suppressAutoHyphens w:val="0"/>
      <w:autoSpaceDE w:val="0"/>
      <w:autoSpaceDN w:val="0"/>
      <w:adjustRightInd w:val="0"/>
    </w:pPr>
    <w:rPr>
      <w:rFonts w:ascii="Calibri" w:hAnsi="Calibri" w:cs="Calibri"/>
      <w:color w:val="000000"/>
      <w:sz w:val="24"/>
      <w:szCs w:val="24"/>
    </w:rPr>
  </w:style>
  <w:style w:type="paragraph" w:styleId="FirstParagraph" w:customStyle="1">
    <w:name w:val="First Paragraph"/>
    <w:basedOn w:val="Normal"/>
    <w:next w:val="BodyText"/>
    <w:uiPriority w:val="1"/>
    <w:qFormat/>
    <w:rsid w:val="503F539B"/>
    <w:pPr>
      <w:spacing w:before="180" w:after="180"/>
    </w:pPr>
    <w:rPr>
      <w:rFonts w:eastAsiaTheme="minorEastAsia"/>
      <w:sz w:val="24"/>
      <w:szCs w:val="24"/>
    </w:rPr>
  </w:style>
  <w:style w:type="paragraph" w:styleId="paragraph" w:customStyle="1">
    <w:name w:val="paragraph"/>
    <w:basedOn w:val="Normal"/>
    <w:rsid w:val="00BA1DDF"/>
    <w:pPr>
      <w:suppressAutoHyphens w:val="0"/>
      <w:spacing w:before="100" w:beforeAutospacing="1" w:after="100" w:afterAutospacing="1" w:line="240" w:lineRule="auto"/>
    </w:pPr>
    <w:rPr>
      <w:rFonts w:ascii="Times New Roman" w:hAnsi="Times New Roman" w:eastAsia="Times New Roman" w:cs="Times New Roman"/>
      <w:sz w:val="24"/>
      <w:szCs w:val="24"/>
      <w:lang w:eastAsia="es-CO"/>
    </w:rPr>
  </w:style>
  <w:style w:type="character" w:styleId="normaltextrun" w:customStyle="1">
    <w:name w:val="normaltextrun"/>
    <w:basedOn w:val="DefaultParagraphFont"/>
    <w:rsid w:val="00BA1DDF"/>
  </w:style>
  <w:style w:type="character" w:styleId="eop" w:customStyle="1">
    <w:name w:val="eop"/>
    <w:basedOn w:val="DefaultParagraphFont"/>
    <w:rsid w:val="00BA1DDF"/>
  </w:style>
  <w:style w:type="character" w:styleId="whitespace-normal" w:customStyle="1">
    <w:name w:val="whitespace-normal"/>
    <w:basedOn w:val="DefaultParagraphFont"/>
    <w:rsid w:val="00F76BDC"/>
  </w:style>
  <w:style w:type="paragraph" w:styleId="NormalWeb">
    <w:name w:val="Normal (Web)"/>
    <w:basedOn w:val="Normal"/>
    <w:uiPriority w:val="99"/>
    <w:semiHidden/>
    <w:unhideWhenUsed/>
    <w:rsid w:val="00ED3671"/>
    <w:pPr>
      <w:suppressAutoHyphens w:val="0"/>
      <w:spacing w:before="100" w:beforeAutospacing="1" w:after="100" w:afterAutospacing="1" w:line="240" w:lineRule="auto"/>
    </w:pPr>
    <w:rPr>
      <w:rFonts w:ascii="Times New Roman" w:hAnsi="Times New Roman" w:eastAsia="Times New Roman" w:cs="Times New Roman"/>
      <w:sz w:val="24"/>
      <w:szCs w:val="24"/>
      <w:lang w:eastAsia="es-CO"/>
    </w:rPr>
  </w:style>
  <w:style w:type="table" w:styleId="TableGrid">
    <w:name w:val="Table Grid"/>
    <w:basedOn w:val="TableNormal"/>
    <w:uiPriority w:val="59"/>
    <w:rsid w:val="00FB4123"/>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Normal1" w:customStyle="1">
    <w:name w:val="Table Normal1"/>
    <w:uiPriority w:val="2"/>
    <w:semiHidden/>
    <w:unhideWhenUsed/>
    <w:qFormat/>
    <w:rsid w:val="00BA649C"/>
    <w:pPr>
      <w:widowControl w:val="0"/>
      <w:suppressAutoHyphens w:val="0"/>
      <w:autoSpaceDE w:val="0"/>
      <w:autoSpaceDN w:val="0"/>
    </w:pPr>
    <w:rPr>
      <w:lang w:val="en-US"/>
    </w:rPr>
    <w:tblPr>
      <w:tblInd w:w="0" w:type="dxa"/>
      <w:tblCellMar>
        <w:top w:w="0" w:type="dxa"/>
        <w:left w:w="0" w:type="dxa"/>
        <w:bottom w:w="0" w:type="dxa"/>
        <w:right w:w="0" w:type="dxa"/>
      </w:tblCellMar>
    </w:tblPr>
  </w:style>
  <w:style w:type="paragraph" w:styleId="ListBullet">
    <w:name w:val="List Bullet"/>
    <w:basedOn w:val="Normal"/>
    <w:uiPriority w:val="99"/>
    <w:unhideWhenUsed/>
    <w:rsid w:val="003E0D82"/>
    <w:pPr>
      <w:ind w:left="360" w:hanging="360"/>
      <w:contextualSpacing/>
    </w:pPr>
  </w:style>
  <w:style w:type="paragraph" w:styleId="CommentText">
    <w:name w:val="Comment Text"/>
    <w:basedOn w:val="Normal"/>
    <w:link w:val="CommentTextChar"/>
    <w:uiPriority w:val="99"/>
    <w:unhideWhenUsed/>
    <w:rsid w:val="00DF7A6B"/>
    <w:pPr>
      <w:spacing w:line="240" w:lineRule="auto"/>
    </w:pPr>
    <w:rPr>
      <w:sz w:val="20"/>
      <w:szCs w:val="20"/>
    </w:rPr>
  </w:style>
  <w:style w:type="character" w:styleId="CommentTextChar" w:customStyle="1">
    <w:name w:val="Comment Text Char"/>
    <w:basedOn w:val="DefaultParagraphFont"/>
    <w:link w:val="CommentText"/>
    <w:uiPriority w:val="99"/>
    <w:rsid w:val="00DF7A6B"/>
    <w:rPr>
      <w:sz w:val="20"/>
      <w:szCs w:val="20"/>
    </w:rPr>
  </w:style>
  <w:style w:type="character" w:styleId="CommentReference">
    <w:name w:val="Comment Reference"/>
    <w:basedOn w:val="DefaultParagraphFont"/>
    <w:uiPriority w:val="99"/>
    <w:semiHidden/>
    <w:unhideWhenUsed/>
    <w:rsid w:val="00DF7A6B"/>
    <w:rPr>
      <w:sz w:val="16"/>
      <w:szCs w:val="16"/>
    </w:rPr>
  </w:style>
  <w:style w:type="paragraph" w:styleId="CommentSubject">
    <w:name w:val="Comment Subject"/>
    <w:basedOn w:val="CommentText"/>
    <w:next w:val="CommentText"/>
    <w:link w:val="CommentSubjectChar"/>
    <w:uiPriority w:val="99"/>
    <w:semiHidden/>
    <w:unhideWhenUsed/>
    <w:rsid w:val="00DF7A6B"/>
    <w:rPr>
      <w:b/>
      <w:bCs/>
    </w:rPr>
  </w:style>
  <w:style w:type="character" w:styleId="CommentSubjectChar" w:customStyle="1">
    <w:name w:val="Comment Subject Char"/>
    <w:basedOn w:val="CommentTextChar"/>
    <w:link w:val="CommentSubject"/>
    <w:uiPriority w:val="99"/>
    <w:semiHidden/>
    <w:rsid w:val="00DF7A6B"/>
    <w:rPr>
      <w:b/>
      <w:bCs/>
      <w:sz w:val="20"/>
      <w:szCs w:val="20"/>
    </w:rPr>
  </w:style>
  <w:style w:type="table" w:styleId="TableGridLight">
    <w:name w:val="Grid Table Light"/>
    <w:basedOn w:val="TableNormal"/>
    <w:uiPriority w:val="40"/>
    <w:rsid w:val="00166F7C"/>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Heading2Char" w:customStyle="1">
    <w:name w:val="Heading 2 Char"/>
    <w:basedOn w:val="DefaultParagraphFont"/>
    <w:link w:val="Heading2"/>
    <w:uiPriority w:val="9"/>
    <w:rsid w:val="004C6636"/>
    <w:rPr>
      <w:rFonts w:asciiTheme="majorHAnsi" w:hAnsiTheme="majorHAnsi" w:eastAsiaTheme="majorEastAsia" w:cstheme="majorBidi"/>
      <w:b/>
      <w:color w:val="000000" w:themeColor="text1"/>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650493">
      <w:bodyDiv w:val="1"/>
      <w:marLeft w:val="0"/>
      <w:marRight w:val="0"/>
      <w:marTop w:val="0"/>
      <w:marBottom w:val="0"/>
      <w:divBdr>
        <w:top w:val="none" w:sz="0" w:space="0" w:color="auto"/>
        <w:left w:val="none" w:sz="0" w:space="0" w:color="auto"/>
        <w:bottom w:val="none" w:sz="0" w:space="0" w:color="auto"/>
        <w:right w:val="none" w:sz="0" w:space="0" w:color="auto"/>
      </w:divBdr>
    </w:div>
    <w:div w:id="85733055">
      <w:bodyDiv w:val="1"/>
      <w:marLeft w:val="0"/>
      <w:marRight w:val="0"/>
      <w:marTop w:val="0"/>
      <w:marBottom w:val="0"/>
      <w:divBdr>
        <w:top w:val="none" w:sz="0" w:space="0" w:color="auto"/>
        <w:left w:val="none" w:sz="0" w:space="0" w:color="auto"/>
        <w:bottom w:val="none" w:sz="0" w:space="0" w:color="auto"/>
        <w:right w:val="none" w:sz="0" w:space="0" w:color="auto"/>
      </w:divBdr>
    </w:div>
    <w:div w:id="91633496">
      <w:bodyDiv w:val="1"/>
      <w:marLeft w:val="0"/>
      <w:marRight w:val="0"/>
      <w:marTop w:val="0"/>
      <w:marBottom w:val="0"/>
      <w:divBdr>
        <w:top w:val="none" w:sz="0" w:space="0" w:color="auto"/>
        <w:left w:val="none" w:sz="0" w:space="0" w:color="auto"/>
        <w:bottom w:val="none" w:sz="0" w:space="0" w:color="auto"/>
        <w:right w:val="none" w:sz="0" w:space="0" w:color="auto"/>
      </w:divBdr>
    </w:div>
    <w:div w:id="118231636">
      <w:bodyDiv w:val="1"/>
      <w:marLeft w:val="0"/>
      <w:marRight w:val="0"/>
      <w:marTop w:val="0"/>
      <w:marBottom w:val="0"/>
      <w:divBdr>
        <w:top w:val="none" w:sz="0" w:space="0" w:color="auto"/>
        <w:left w:val="none" w:sz="0" w:space="0" w:color="auto"/>
        <w:bottom w:val="none" w:sz="0" w:space="0" w:color="auto"/>
        <w:right w:val="none" w:sz="0" w:space="0" w:color="auto"/>
      </w:divBdr>
    </w:div>
    <w:div w:id="149291903">
      <w:bodyDiv w:val="1"/>
      <w:marLeft w:val="0"/>
      <w:marRight w:val="0"/>
      <w:marTop w:val="0"/>
      <w:marBottom w:val="0"/>
      <w:divBdr>
        <w:top w:val="none" w:sz="0" w:space="0" w:color="auto"/>
        <w:left w:val="none" w:sz="0" w:space="0" w:color="auto"/>
        <w:bottom w:val="none" w:sz="0" w:space="0" w:color="auto"/>
        <w:right w:val="none" w:sz="0" w:space="0" w:color="auto"/>
      </w:divBdr>
    </w:div>
    <w:div w:id="205878685">
      <w:bodyDiv w:val="1"/>
      <w:marLeft w:val="0"/>
      <w:marRight w:val="0"/>
      <w:marTop w:val="0"/>
      <w:marBottom w:val="0"/>
      <w:divBdr>
        <w:top w:val="none" w:sz="0" w:space="0" w:color="auto"/>
        <w:left w:val="none" w:sz="0" w:space="0" w:color="auto"/>
        <w:bottom w:val="none" w:sz="0" w:space="0" w:color="auto"/>
        <w:right w:val="none" w:sz="0" w:space="0" w:color="auto"/>
      </w:divBdr>
    </w:div>
    <w:div w:id="258177338">
      <w:bodyDiv w:val="1"/>
      <w:marLeft w:val="0"/>
      <w:marRight w:val="0"/>
      <w:marTop w:val="0"/>
      <w:marBottom w:val="0"/>
      <w:divBdr>
        <w:top w:val="none" w:sz="0" w:space="0" w:color="auto"/>
        <w:left w:val="none" w:sz="0" w:space="0" w:color="auto"/>
        <w:bottom w:val="none" w:sz="0" w:space="0" w:color="auto"/>
        <w:right w:val="none" w:sz="0" w:space="0" w:color="auto"/>
      </w:divBdr>
    </w:div>
    <w:div w:id="312220703">
      <w:bodyDiv w:val="1"/>
      <w:marLeft w:val="0"/>
      <w:marRight w:val="0"/>
      <w:marTop w:val="0"/>
      <w:marBottom w:val="0"/>
      <w:divBdr>
        <w:top w:val="none" w:sz="0" w:space="0" w:color="auto"/>
        <w:left w:val="none" w:sz="0" w:space="0" w:color="auto"/>
        <w:bottom w:val="none" w:sz="0" w:space="0" w:color="auto"/>
        <w:right w:val="none" w:sz="0" w:space="0" w:color="auto"/>
      </w:divBdr>
    </w:div>
    <w:div w:id="339822368">
      <w:bodyDiv w:val="1"/>
      <w:marLeft w:val="0"/>
      <w:marRight w:val="0"/>
      <w:marTop w:val="0"/>
      <w:marBottom w:val="0"/>
      <w:divBdr>
        <w:top w:val="none" w:sz="0" w:space="0" w:color="auto"/>
        <w:left w:val="none" w:sz="0" w:space="0" w:color="auto"/>
        <w:bottom w:val="none" w:sz="0" w:space="0" w:color="auto"/>
        <w:right w:val="none" w:sz="0" w:space="0" w:color="auto"/>
      </w:divBdr>
    </w:div>
    <w:div w:id="348606068">
      <w:bodyDiv w:val="1"/>
      <w:marLeft w:val="0"/>
      <w:marRight w:val="0"/>
      <w:marTop w:val="0"/>
      <w:marBottom w:val="0"/>
      <w:divBdr>
        <w:top w:val="none" w:sz="0" w:space="0" w:color="auto"/>
        <w:left w:val="none" w:sz="0" w:space="0" w:color="auto"/>
        <w:bottom w:val="none" w:sz="0" w:space="0" w:color="auto"/>
        <w:right w:val="none" w:sz="0" w:space="0" w:color="auto"/>
      </w:divBdr>
    </w:div>
    <w:div w:id="356540322">
      <w:bodyDiv w:val="1"/>
      <w:marLeft w:val="0"/>
      <w:marRight w:val="0"/>
      <w:marTop w:val="0"/>
      <w:marBottom w:val="0"/>
      <w:divBdr>
        <w:top w:val="none" w:sz="0" w:space="0" w:color="auto"/>
        <w:left w:val="none" w:sz="0" w:space="0" w:color="auto"/>
        <w:bottom w:val="none" w:sz="0" w:space="0" w:color="auto"/>
        <w:right w:val="none" w:sz="0" w:space="0" w:color="auto"/>
      </w:divBdr>
    </w:div>
    <w:div w:id="377632658">
      <w:bodyDiv w:val="1"/>
      <w:marLeft w:val="0"/>
      <w:marRight w:val="0"/>
      <w:marTop w:val="0"/>
      <w:marBottom w:val="0"/>
      <w:divBdr>
        <w:top w:val="none" w:sz="0" w:space="0" w:color="auto"/>
        <w:left w:val="none" w:sz="0" w:space="0" w:color="auto"/>
        <w:bottom w:val="none" w:sz="0" w:space="0" w:color="auto"/>
        <w:right w:val="none" w:sz="0" w:space="0" w:color="auto"/>
      </w:divBdr>
      <w:divsChild>
        <w:div w:id="285232918">
          <w:marLeft w:val="0"/>
          <w:marRight w:val="0"/>
          <w:marTop w:val="0"/>
          <w:marBottom w:val="0"/>
          <w:divBdr>
            <w:top w:val="none" w:sz="0" w:space="0" w:color="auto"/>
            <w:left w:val="none" w:sz="0" w:space="0" w:color="auto"/>
            <w:bottom w:val="none" w:sz="0" w:space="0" w:color="auto"/>
            <w:right w:val="none" w:sz="0" w:space="0" w:color="auto"/>
          </w:divBdr>
        </w:div>
        <w:div w:id="553392087">
          <w:marLeft w:val="0"/>
          <w:marRight w:val="0"/>
          <w:marTop w:val="0"/>
          <w:marBottom w:val="0"/>
          <w:divBdr>
            <w:top w:val="none" w:sz="0" w:space="0" w:color="auto"/>
            <w:left w:val="none" w:sz="0" w:space="0" w:color="auto"/>
            <w:bottom w:val="none" w:sz="0" w:space="0" w:color="auto"/>
            <w:right w:val="none" w:sz="0" w:space="0" w:color="auto"/>
          </w:divBdr>
        </w:div>
        <w:div w:id="1948191235">
          <w:marLeft w:val="0"/>
          <w:marRight w:val="0"/>
          <w:marTop w:val="0"/>
          <w:marBottom w:val="0"/>
          <w:divBdr>
            <w:top w:val="none" w:sz="0" w:space="0" w:color="auto"/>
            <w:left w:val="none" w:sz="0" w:space="0" w:color="auto"/>
            <w:bottom w:val="none" w:sz="0" w:space="0" w:color="auto"/>
            <w:right w:val="none" w:sz="0" w:space="0" w:color="auto"/>
          </w:divBdr>
        </w:div>
      </w:divsChild>
    </w:div>
    <w:div w:id="380249750">
      <w:bodyDiv w:val="1"/>
      <w:marLeft w:val="0"/>
      <w:marRight w:val="0"/>
      <w:marTop w:val="0"/>
      <w:marBottom w:val="0"/>
      <w:divBdr>
        <w:top w:val="none" w:sz="0" w:space="0" w:color="auto"/>
        <w:left w:val="none" w:sz="0" w:space="0" w:color="auto"/>
        <w:bottom w:val="none" w:sz="0" w:space="0" w:color="auto"/>
        <w:right w:val="none" w:sz="0" w:space="0" w:color="auto"/>
      </w:divBdr>
    </w:div>
    <w:div w:id="443352319">
      <w:bodyDiv w:val="1"/>
      <w:marLeft w:val="0"/>
      <w:marRight w:val="0"/>
      <w:marTop w:val="0"/>
      <w:marBottom w:val="0"/>
      <w:divBdr>
        <w:top w:val="none" w:sz="0" w:space="0" w:color="auto"/>
        <w:left w:val="none" w:sz="0" w:space="0" w:color="auto"/>
        <w:bottom w:val="none" w:sz="0" w:space="0" w:color="auto"/>
        <w:right w:val="none" w:sz="0" w:space="0" w:color="auto"/>
      </w:divBdr>
    </w:div>
    <w:div w:id="669915102">
      <w:bodyDiv w:val="1"/>
      <w:marLeft w:val="0"/>
      <w:marRight w:val="0"/>
      <w:marTop w:val="0"/>
      <w:marBottom w:val="0"/>
      <w:divBdr>
        <w:top w:val="none" w:sz="0" w:space="0" w:color="auto"/>
        <w:left w:val="none" w:sz="0" w:space="0" w:color="auto"/>
        <w:bottom w:val="none" w:sz="0" w:space="0" w:color="auto"/>
        <w:right w:val="none" w:sz="0" w:space="0" w:color="auto"/>
      </w:divBdr>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766269973">
      <w:bodyDiv w:val="1"/>
      <w:marLeft w:val="0"/>
      <w:marRight w:val="0"/>
      <w:marTop w:val="0"/>
      <w:marBottom w:val="0"/>
      <w:divBdr>
        <w:top w:val="none" w:sz="0" w:space="0" w:color="auto"/>
        <w:left w:val="none" w:sz="0" w:space="0" w:color="auto"/>
        <w:bottom w:val="none" w:sz="0" w:space="0" w:color="auto"/>
        <w:right w:val="none" w:sz="0" w:space="0" w:color="auto"/>
      </w:divBdr>
    </w:div>
    <w:div w:id="846292785">
      <w:bodyDiv w:val="1"/>
      <w:marLeft w:val="0"/>
      <w:marRight w:val="0"/>
      <w:marTop w:val="0"/>
      <w:marBottom w:val="0"/>
      <w:divBdr>
        <w:top w:val="none" w:sz="0" w:space="0" w:color="auto"/>
        <w:left w:val="none" w:sz="0" w:space="0" w:color="auto"/>
        <w:bottom w:val="none" w:sz="0" w:space="0" w:color="auto"/>
        <w:right w:val="none" w:sz="0" w:space="0" w:color="auto"/>
      </w:divBdr>
    </w:div>
    <w:div w:id="852375864">
      <w:bodyDiv w:val="1"/>
      <w:marLeft w:val="0"/>
      <w:marRight w:val="0"/>
      <w:marTop w:val="0"/>
      <w:marBottom w:val="0"/>
      <w:divBdr>
        <w:top w:val="none" w:sz="0" w:space="0" w:color="auto"/>
        <w:left w:val="none" w:sz="0" w:space="0" w:color="auto"/>
        <w:bottom w:val="none" w:sz="0" w:space="0" w:color="auto"/>
        <w:right w:val="none" w:sz="0" w:space="0" w:color="auto"/>
      </w:divBdr>
      <w:divsChild>
        <w:div w:id="537623565">
          <w:marLeft w:val="0"/>
          <w:marRight w:val="0"/>
          <w:marTop w:val="0"/>
          <w:marBottom w:val="0"/>
          <w:divBdr>
            <w:top w:val="none" w:sz="0" w:space="0" w:color="auto"/>
            <w:left w:val="none" w:sz="0" w:space="0" w:color="auto"/>
            <w:bottom w:val="none" w:sz="0" w:space="0" w:color="auto"/>
            <w:right w:val="none" w:sz="0" w:space="0" w:color="auto"/>
          </w:divBdr>
          <w:divsChild>
            <w:div w:id="1221792560">
              <w:marLeft w:val="0"/>
              <w:marRight w:val="0"/>
              <w:marTop w:val="0"/>
              <w:marBottom w:val="0"/>
              <w:divBdr>
                <w:top w:val="none" w:sz="0" w:space="0" w:color="auto"/>
                <w:left w:val="none" w:sz="0" w:space="0" w:color="auto"/>
                <w:bottom w:val="none" w:sz="0" w:space="0" w:color="auto"/>
                <w:right w:val="none" w:sz="0" w:space="0" w:color="auto"/>
              </w:divBdr>
              <w:divsChild>
                <w:div w:id="608589812">
                  <w:marLeft w:val="0"/>
                  <w:marRight w:val="0"/>
                  <w:marTop w:val="0"/>
                  <w:marBottom w:val="0"/>
                  <w:divBdr>
                    <w:top w:val="none" w:sz="0" w:space="0" w:color="auto"/>
                    <w:left w:val="none" w:sz="0" w:space="0" w:color="auto"/>
                    <w:bottom w:val="none" w:sz="0" w:space="0" w:color="auto"/>
                    <w:right w:val="none" w:sz="0" w:space="0" w:color="auto"/>
                  </w:divBdr>
                  <w:divsChild>
                    <w:div w:id="918104274">
                      <w:marLeft w:val="0"/>
                      <w:marRight w:val="0"/>
                      <w:marTop w:val="0"/>
                      <w:marBottom w:val="0"/>
                      <w:divBdr>
                        <w:top w:val="none" w:sz="0" w:space="0" w:color="auto"/>
                        <w:left w:val="none" w:sz="0" w:space="0" w:color="auto"/>
                        <w:bottom w:val="none" w:sz="0" w:space="0" w:color="auto"/>
                        <w:right w:val="none" w:sz="0" w:space="0" w:color="auto"/>
                      </w:divBdr>
                      <w:divsChild>
                        <w:div w:id="312873179">
                          <w:marLeft w:val="0"/>
                          <w:marRight w:val="0"/>
                          <w:marTop w:val="0"/>
                          <w:marBottom w:val="0"/>
                          <w:divBdr>
                            <w:top w:val="none" w:sz="0" w:space="0" w:color="auto"/>
                            <w:left w:val="none" w:sz="0" w:space="0" w:color="auto"/>
                            <w:bottom w:val="none" w:sz="0" w:space="0" w:color="auto"/>
                            <w:right w:val="none" w:sz="0" w:space="0" w:color="auto"/>
                          </w:divBdr>
                          <w:divsChild>
                            <w:div w:id="1411269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2011693">
      <w:bodyDiv w:val="1"/>
      <w:marLeft w:val="0"/>
      <w:marRight w:val="0"/>
      <w:marTop w:val="0"/>
      <w:marBottom w:val="0"/>
      <w:divBdr>
        <w:top w:val="none" w:sz="0" w:space="0" w:color="auto"/>
        <w:left w:val="none" w:sz="0" w:space="0" w:color="auto"/>
        <w:bottom w:val="none" w:sz="0" w:space="0" w:color="auto"/>
        <w:right w:val="none" w:sz="0" w:space="0" w:color="auto"/>
      </w:divBdr>
    </w:div>
    <w:div w:id="901909062">
      <w:bodyDiv w:val="1"/>
      <w:marLeft w:val="0"/>
      <w:marRight w:val="0"/>
      <w:marTop w:val="0"/>
      <w:marBottom w:val="0"/>
      <w:divBdr>
        <w:top w:val="none" w:sz="0" w:space="0" w:color="auto"/>
        <w:left w:val="none" w:sz="0" w:space="0" w:color="auto"/>
        <w:bottom w:val="none" w:sz="0" w:space="0" w:color="auto"/>
        <w:right w:val="none" w:sz="0" w:space="0" w:color="auto"/>
      </w:divBdr>
    </w:div>
    <w:div w:id="921065862">
      <w:bodyDiv w:val="1"/>
      <w:marLeft w:val="0"/>
      <w:marRight w:val="0"/>
      <w:marTop w:val="0"/>
      <w:marBottom w:val="0"/>
      <w:divBdr>
        <w:top w:val="none" w:sz="0" w:space="0" w:color="auto"/>
        <w:left w:val="none" w:sz="0" w:space="0" w:color="auto"/>
        <w:bottom w:val="none" w:sz="0" w:space="0" w:color="auto"/>
        <w:right w:val="none" w:sz="0" w:space="0" w:color="auto"/>
      </w:divBdr>
      <w:divsChild>
        <w:div w:id="24405367">
          <w:marLeft w:val="0"/>
          <w:marRight w:val="0"/>
          <w:marTop w:val="0"/>
          <w:marBottom w:val="0"/>
          <w:divBdr>
            <w:top w:val="none" w:sz="0" w:space="0" w:color="auto"/>
            <w:left w:val="none" w:sz="0" w:space="0" w:color="auto"/>
            <w:bottom w:val="none" w:sz="0" w:space="0" w:color="auto"/>
            <w:right w:val="none" w:sz="0" w:space="0" w:color="auto"/>
          </w:divBdr>
        </w:div>
        <w:div w:id="659887577">
          <w:marLeft w:val="0"/>
          <w:marRight w:val="0"/>
          <w:marTop w:val="0"/>
          <w:marBottom w:val="0"/>
          <w:divBdr>
            <w:top w:val="none" w:sz="0" w:space="0" w:color="auto"/>
            <w:left w:val="none" w:sz="0" w:space="0" w:color="auto"/>
            <w:bottom w:val="none" w:sz="0" w:space="0" w:color="auto"/>
            <w:right w:val="none" w:sz="0" w:space="0" w:color="auto"/>
          </w:divBdr>
        </w:div>
      </w:divsChild>
    </w:div>
    <w:div w:id="940379216">
      <w:bodyDiv w:val="1"/>
      <w:marLeft w:val="0"/>
      <w:marRight w:val="0"/>
      <w:marTop w:val="0"/>
      <w:marBottom w:val="0"/>
      <w:divBdr>
        <w:top w:val="none" w:sz="0" w:space="0" w:color="auto"/>
        <w:left w:val="none" w:sz="0" w:space="0" w:color="auto"/>
        <w:bottom w:val="none" w:sz="0" w:space="0" w:color="auto"/>
        <w:right w:val="none" w:sz="0" w:space="0" w:color="auto"/>
      </w:divBdr>
    </w:div>
    <w:div w:id="969676006">
      <w:bodyDiv w:val="1"/>
      <w:marLeft w:val="0"/>
      <w:marRight w:val="0"/>
      <w:marTop w:val="0"/>
      <w:marBottom w:val="0"/>
      <w:divBdr>
        <w:top w:val="none" w:sz="0" w:space="0" w:color="auto"/>
        <w:left w:val="none" w:sz="0" w:space="0" w:color="auto"/>
        <w:bottom w:val="none" w:sz="0" w:space="0" w:color="auto"/>
        <w:right w:val="none" w:sz="0" w:space="0" w:color="auto"/>
      </w:divBdr>
    </w:div>
    <w:div w:id="1042244258">
      <w:bodyDiv w:val="1"/>
      <w:marLeft w:val="0"/>
      <w:marRight w:val="0"/>
      <w:marTop w:val="0"/>
      <w:marBottom w:val="0"/>
      <w:divBdr>
        <w:top w:val="none" w:sz="0" w:space="0" w:color="auto"/>
        <w:left w:val="none" w:sz="0" w:space="0" w:color="auto"/>
        <w:bottom w:val="none" w:sz="0" w:space="0" w:color="auto"/>
        <w:right w:val="none" w:sz="0" w:space="0" w:color="auto"/>
      </w:divBdr>
    </w:div>
    <w:div w:id="1144152639">
      <w:bodyDiv w:val="1"/>
      <w:marLeft w:val="0"/>
      <w:marRight w:val="0"/>
      <w:marTop w:val="0"/>
      <w:marBottom w:val="0"/>
      <w:divBdr>
        <w:top w:val="none" w:sz="0" w:space="0" w:color="auto"/>
        <w:left w:val="none" w:sz="0" w:space="0" w:color="auto"/>
        <w:bottom w:val="none" w:sz="0" w:space="0" w:color="auto"/>
        <w:right w:val="none" w:sz="0" w:space="0" w:color="auto"/>
      </w:divBdr>
    </w:div>
    <w:div w:id="1246911816">
      <w:bodyDiv w:val="1"/>
      <w:marLeft w:val="0"/>
      <w:marRight w:val="0"/>
      <w:marTop w:val="0"/>
      <w:marBottom w:val="0"/>
      <w:divBdr>
        <w:top w:val="none" w:sz="0" w:space="0" w:color="auto"/>
        <w:left w:val="none" w:sz="0" w:space="0" w:color="auto"/>
        <w:bottom w:val="none" w:sz="0" w:space="0" w:color="auto"/>
        <w:right w:val="none" w:sz="0" w:space="0" w:color="auto"/>
      </w:divBdr>
    </w:div>
    <w:div w:id="1252081537">
      <w:bodyDiv w:val="1"/>
      <w:marLeft w:val="0"/>
      <w:marRight w:val="0"/>
      <w:marTop w:val="0"/>
      <w:marBottom w:val="0"/>
      <w:divBdr>
        <w:top w:val="none" w:sz="0" w:space="0" w:color="auto"/>
        <w:left w:val="none" w:sz="0" w:space="0" w:color="auto"/>
        <w:bottom w:val="none" w:sz="0" w:space="0" w:color="auto"/>
        <w:right w:val="none" w:sz="0" w:space="0" w:color="auto"/>
      </w:divBdr>
    </w:div>
    <w:div w:id="1276476083">
      <w:bodyDiv w:val="1"/>
      <w:marLeft w:val="0"/>
      <w:marRight w:val="0"/>
      <w:marTop w:val="0"/>
      <w:marBottom w:val="0"/>
      <w:divBdr>
        <w:top w:val="none" w:sz="0" w:space="0" w:color="auto"/>
        <w:left w:val="none" w:sz="0" w:space="0" w:color="auto"/>
        <w:bottom w:val="none" w:sz="0" w:space="0" w:color="auto"/>
        <w:right w:val="none" w:sz="0" w:space="0" w:color="auto"/>
      </w:divBdr>
    </w:div>
    <w:div w:id="1333610202">
      <w:bodyDiv w:val="1"/>
      <w:marLeft w:val="0"/>
      <w:marRight w:val="0"/>
      <w:marTop w:val="0"/>
      <w:marBottom w:val="0"/>
      <w:divBdr>
        <w:top w:val="none" w:sz="0" w:space="0" w:color="auto"/>
        <w:left w:val="none" w:sz="0" w:space="0" w:color="auto"/>
        <w:bottom w:val="none" w:sz="0" w:space="0" w:color="auto"/>
        <w:right w:val="none" w:sz="0" w:space="0" w:color="auto"/>
      </w:divBdr>
      <w:divsChild>
        <w:div w:id="331495451">
          <w:marLeft w:val="0"/>
          <w:marRight w:val="0"/>
          <w:marTop w:val="0"/>
          <w:marBottom w:val="0"/>
          <w:divBdr>
            <w:top w:val="none" w:sz="0" w:space="0" w:color="auto"/>
            <w:left w:val="none" w:sz="0" w:space="0" w:color="auto"/>
            <w:bottom w:val="none" w:sz="0" w:space="0" w:color="auto"/>
            <w:right w:val="none" w:sz="0" w:space="0" w:color="auto"/>
          </w:divBdr>
        </w:div>
        <w:div w:id="452136287">
          <w:marLeft w:val="0"/>
          <w:marRight w:val="0"/>
          <w:marTop w:val="0"/>
          <w:marBottom w:val="0"/>
          <w:divBdr>
            <w:top w:val="none" w:sz="0" w:space="0" w:color="auto"/>
            <w:left w:val="none" w:sz="0" w:space="0" w:color="auto"/>
            <w:bottom w:val="none" w:sz="0" w:space="0" w:color="auto"/>
            <w:right w:val="none" w:sz="0" w:space="0" w:color="auto"/>
          </w:divBdr>
        </w:div>
        <w:div w:id="1122382039">
          <w:marLeft w:val="0"/>
          <w:marRight w:val="0"/>
          <w:marTop w:val="0"/>
          <w:marBottom w:val="0"/>
          <w:divBdr>
            <w:top w:val="none" w:sz="0" w:space="0" w:color="auto"/>
            <w:left w:val="none" w:sz="0" w:space="0" w:color="auto"/>
            <w:bottom w:val="none" w:sz="0" w:space="0" w:color="auto"/>
            <w:right w:val="none" w:sz="0" w:space="0" w:color="auto"/>
          </w:divBdr>
        </w:div>
        <w:div w:id="2116054348">
          <w:marLeft w:val="0"/>
          <w:marRight w:val="0"/>
          <w:marTop w:val="0"/>
          <w:marBottom w:val="0"/>
          <w:divBdr>
            <w:top w:val="none" w:sz="0" w:space="0" w:color="auto"/>
            <w:left w:val="none" w:sz="0" w:space="0" w:color="auto"/>
            <w:bottom w:val="none" w:sz="0" w:space="0" w:color="auto"/>
            <w:right w:val="none" w:sz="0" w:space="0" w:color="auto"/>
          </w:divBdr>
        </w:div>
        <w:div w:id="2143108876">
          <w:marLeft w:val="0"/>
          <w:marRight w:val="0"/>
          <w:marTop w:val="0"/>
          <w:marBottom w:val="0"/>
          <w:divBdr>
            <w:top w:val="none" w:sz="0" w:space="0" w:color="auto"/>
            <w:left w:val="none" w:sz="0" w:space="0" w:color="auto"/>
            <w:bottom w:val="none" w:sz="0" w:space="0" w:color="auto"/>
            <w:right w:val="none" w:sz="0" w:space="0" w:color="auto"/>
          </w:divBdr>
        </w:div>
      </w:divsChild>
    </w:div>
    <w:div w:id="1341350943">
      <w:bodyDiv w:val="1"/>
      <w:marLeft w:val="0"/>
      <w:marRight w:val="0"/>
      <w:marTop w:val="0"/>
      <w:marBottom w:val="0"/>
      <w:divBdr>
        <w:top w:val="none" w:sz="0" w:space="0" w:color="auto"/>
        <w:left w:val="none" w:sz="0" w:space="0" w:color="auto"/>
        <w:bottom w:val="none" w:sz="0" w:space="0" w:color="auto"/>
        <w:right w:val="none" w:sz="0" w:space="0" w:color="auto"/>
      </w:divBdr>
      <w:divsChild>
        <w:div w:id="1184436779">
          <w:marLeft w:val="0"/>
          <w:marRight w:val="0"/>
          <w:marTop w:val="0"/>
          <w:marBottom w:val="0"/>
          <w:divBdr>
            <w:top w:val="none" w:sz="0" w:space="0" w:color="auto"/>
            <w:left w:val="none" w:sz="0" w:space="0" w:color="auto"/>
            <w:bottom w:val="none" w:sz="0" w:space="0" w:color="auto"/>
            <w:right w:val="none" w:sz="0" w:space="0" w:color="auto"/>
          </w:divBdr>
        </w:div>
        <w:div w:id="1998417583">
          <w:marLeft w:val="0"/>
          <w:marRight w:val="0"/>
          <w:marTop w:val="0"/>
          <w:marBottom w:val="0"/>
          <w:divBdr>
            <w:top w:val="none" w:sz="0" w:space="0" w:color="auto"/>
            <w:left w:val="none" w:sz="0" w:space="0" w:color="auto"/>
            <w:bottom w:val="none" w:sz="0" w:space="0" w:color="auto"/>
            <w:right w:val="none" w:sz="0" w:space="0" w:color="auto"/>
          </w:divBdr>
        </w:div>
        <w:div w:id="2062438128">
          <w:marLeft w:val="0"/>
          <w:marRight w:val="0"/>
          <w:marTop w:val="0"/>
          <w:marBottom w:val="0"/>
          <w:divBdr>
            <w:top w:val="none" w:sz="0" w:space="0" w:color="auto"/>
            <w:left w:val="none" w:sz="0" w:space="0" w:color="auto"/>
            <w:bottom w:val="none" w:sz="0" w:space="0" w:color="auto"/>
            <w:right w:val="none" w:sz="0" w:space="0" w:color="auto"/>
          </w:divBdr>
        </w:div>
      </w:divsChild>
    </w:div>
    <w:div w:id="1355574312">
      <w:bodyDiv w:val="1"/>
      <w:marLeft w:val="0"/>
      <w:marRight w:val="0"/>
      <w:marTop w:val="0"/>
      <w:marBottom w:val="0"/>
      <w:divBdr>
        <w:top w:val="none" w:sz="0" w:space="0" w:color="auto"/>
        <w:left w:val="none" w:sz="0" w:space="0" w:color="auto"/>
        <w:bottom w:val="none" w:sz="0" w:space="0" w:color="auto"/>
        <w:right w:val="none" w:sz="0" w:space="0" w:color="auto"/>
      </w:divBdr>
    </w:div>
    <w:div w:id="1358585754">
      <w:bodyDiv w:val="1"/>
      <w:marLeft w:val="0"/>
      <w:marRight w:val="0"/>
      <w:marTop w:val="0"/>
      <w:marBottom w:val="0"/>
      <w:divBdr>
        <w:top w:val="none" w:sz="0" w:space="0" w:color="auto"/>
        <w:left w:val="none" w:sz="0" w:space="0" w:color="auto"/>
        <w:bottom w:val="none" w:sz="0" w:space="0" w:color="auto"/>
        <w:right w:val="none" w:sz="0" w:space="0" w:color="auto"/>
      </w:divBdr>
    </w:div>
    <w:div w:id="1362508695">
      <w:bodyDiv w:val="1"/>
      <w:marLeft w:val="0"/>
      <w:marRight w:val="0"/>
      <w:marTop w:val="0"/>
      <w:marBottom w:val="0"/>
      <w:divBdr>
        <w:top w:val="none" w:sz="0" w:space="0" w:color="auto"/>
        <w:left w:val="none" w:sz="0" w:space="0" w:color="auto"/>
        <w:bottom w:val="none" w:sz="0" w:space="0" w:color="auto"/>
        <w:right w:val="none" w:sz="0" w:space="0" w:color="auto"/>
      </w:divBdr>
    </w:div>
    <w:div w:id="1528907222">
      <w:bodyDiv w:val="1"/>
      <w:marLeft w:val="0"/>
      <w:marRight w:val="0"/>
      <w:marTop w:val="0"/>
      <w:marBottom w:val="0"/>
      <w:divBdr>
        <w:top w:val="none" w:sz="0" w:space="0" w:color="auto"/>
        <w:left w:val="none" w:sz="0" w:space="0" w:color="auto"/>
        <w:bottom w:val="none" w:sz="0" w:space="0" w:color="auto"/>
        <w:right w:val="none" w:sz="0" w:space="0" w:color="auto"/>
      </w:divBdr>
    </w:div>
    <w:div w:id="1562062232">
      <w:bodyDiv w:val="1"/>
      <w:marLeft w:val="0"/>
      <w:marRight w:val="0"/>
      <w:marTop w:val="0"/>
      <w:marBottom w:val="0"/>
      <w:divBdr>
        <w:top w:val="none" w:sz="0" w:space="0" w:color="auto"/>
        <w:left w:val="none" w:sz="0" w:space="0" w:color="auto"/>
        <w:bottom w:val="none" w:sz="0" w:space="0" w:color="auto"/>
        <w:right w:val="none" w:sz="0" w:space="0" w:color="auto"/>
      </w:divBdr>
      <w:divsChild>
        <w:div w:id="1120882616">
          <w:marLeft w:val="0"/>
          <w:marRight w:val="0"/>
          <w:marTop w:val="0"/>
          <w:marBottom w:val="0"/>
          <w:divBdr>
            <w:top w:val="none" w:sz="0" w:space="0" w:color="auto"/>
            <w:left w:val="none" w:sz="0" w:space="0" w:color="auto"/>
            <w:bottom w:val="none" w:sz="0" w:space="0" w:color="auto"/>
            <w:right w:val="none" w:sz="0" w:space="0" w:color="auto"/>
          </w:divBdr>
          <w:divsChild>
            <w:div w:id="767888680">
              <w:marLeft w:val="0"/>
              <w:marRight w:val="0"/>
              <w:marTop w:val="0"/>
              <w:marBottom w:val="0"/>
              <w:divBdr>
                <w:top w:val="none" w:sz="0" w:space="0" w:color="auto"/>
                <w:left w:val="none" w:sz="0" w:space="0" w:color="auto"/>
                <w:bottom w:val="none" w:sz="0" w:space="0" w:color="auto"/>
                <w:right w:val="none" w:sz="0" w:space="0" w:color="auto"/>
              </w:divBdr>
              <w:divsChild>
                <w:div w:id="344555377">
                  <w:marLeft w:val="0"/>
                  <w:marRight w:val="0"/>
                  <w:marTop w:val="0"/>
                  <w:marBottom w:val="0"/>
                  <w:divBdr>
                    <w:top w:val="none" w:sz="0" w:space="0" w:color="auto"/>
                    <w:left w:val="none" w:sz="0" w:space="0" w:color="auto"/>
                    <w:bottom w:val="none" w:sz="0" w:space="0" w:color="auto"/>
                    <w:right w:val="none" w:sz="0" w:space="0" w:color="auto"/>
                  </w:divBdr>
                  <w:divsChild>
                    <w:div w:id="1813406327">
                      <w:marLeft w:val="0"/>
                      <w:marRight w:val="0"/>
                      <w:marTop w:val="0"/>
                      <w:marBottom w:val="0"/>
                      <w:divBdr>
                        <w:top w:val="none" w:sz="0" w:space="0" w:color="auto"/>
                        <w:left w:val="none" w:sz="0" w:space="0" w:color="auto"/>
                        <w:bottom w:val="none" w:sz="0" w:space="0" w:color="auto"/>
                        <w:right w:val="none" w:sz="0" w:space="0" w:color="auto"/>
                      </w:divBdr>
                      <w:divsChild>
                        <w:div w:id="746224418">
                          <w:marLeft w:val="0"/>
                          <w:marRight w:val="0"/>
                          <w:marTop w:val="0"/>
                          <w:marBottom w:val="0"/>
                          <w:divBdr>
                            <w:top w:val="none" w:sz="0" w:space="0" w:color="auto"/>
                            <w:left w:val="none" w:sz="0" w:space="0" w:color="auto"/>
                            <w:bottom w:val="none" w:sz="0" w:space="0" w:color="auto"/>
                            <w:right w:val="none" w:sz="0" w:space="0" w:color="auto"/>
                          </w:divBdr>
                          <w:divsChild>
                            <w:div w:id="192205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5401790">
      <w:bodyDiv w:val="1"/>
      <w:marLeft w:val="0"/>
      <w:marRight w:val="0"/>
      <w:marTop w:val="0"/>
      <w:marBottom w:val="0"/>
      <w:divBdr>
        <w:top w:val="none" w:sz="0" w:space="0" w:color="auto"/>
        <w:left w:val="none" w:sz="0" w:space="0" w:color="auto"/>
        <w:bottom w:val="none" w:sz="0" w:space="0" w:color="auto"/>
        <w:right w:val="none" w:sz="0" w:space="0" w:color="auto"/>
      </w:divBdr>
    </w:div>
    <w:div w:id="1715427379">
      <w:bodyDiv w:val="1"/>
      <w:marLeft w:val="0"/>
      <w:marRight w:val="0"/>
      <w:marTop w:val="0"/>
      <w:marBottom w:val="0"/>
      <w:divBdr>
        <w:top w:val="none" w:sz="0" w:space="0" w:color="auto"/>
        <w:left w:val="none" w:sz="0" w:space="0" w:color="auto"/>
        <w:bottom w:val="none" w:sz="0" w:space="0" w:color="auto"/>
        <w:right w:val="none" w:sz="0" w:space="0" w:color="auto"/>
      </w:divBdr>
    </w:div>
    <w:div w:id="1782142902">
      <w:bodyDiv w:val="1"/>
      <w:marLeft w:val="0"/>
      <w:marRight w:val="0"/>
      <w:marTop w:val="0"/>
      <w:marBottom w:val="0"/>
      <w:divBdr>
        <w:top w:val="none" w:sz="0" w:space="0" w:color="auto"/>
        <w:left w:val="none" w:sz="0" w:space="0" w:color="auto"/>
        <w:bottom w:val="none" w:sz="0" w:space="0" w:color="auto"/>
        <w:right w:val="none" w:sz="0" w:space="0" w:color="auto"/>
      </w:divBdr>
    </w:div>
    <w:div w:id="1861554074">
      <w:bodyDiv w:val="1"/>
      <w:marLeft w:val="0"/>
      <w:marRight w:val="0"/>
      <w:marTop w:val="0"/>
      <w:marBottom w:val="0"/>
      <w:divBdr>
        <w:top w:val="none" w:sz="0" w:space="0" w:color="auto"/>
        <w:left w:val="none" w:sz="0" w:space="0" w:color="auto"/>
        <w:bottom w:val="none" w:sz="0" w:space="0" w:color="auto"/>
        <w:right w:val="none" w:sz="0" w:space="0" w:color="auto"/>
      </w:divBdr>
    </w:div>
    <w:div w:id="1884321089">
      <w:bodyDiv w:val="1"/>
      <w:marLeft w:val="0"/>
      <w:marRight w:val="0"/>
      <w:marTop w:val="0"/>
      <w:marBottom w:val="0"/>
      <w:divBdr>
        <w:top w:val="none" w:sz="0" w:space="0" w:color="auto"/>
        <w:left w:val="none" w:sz="0" w:space="0" w:color="auto"/>
        <w:bottom w:val="none" w:sz="0" w:space="0" w:color="auto"/>
        <w:right w:val="none" w:sz="0" w:space="0" w:color="auto"/>
      </w:divBdr>
    </w:div>
    <w:div w:id="1912545963">
      <w:bodyDiv w:val="1"/>
      <w:marLeft w:val="0"/>
      <w:marRight w:val="0"/>
      <w:marTop w:val="0"/>
      <w:marBottom w:val="0"/>
      <w:divBdr>
        <w:top w:val="none" w:sz="0" w:space="0" w:color="auto"/>
        <w:left w:val="none" w:sz="0" w:space="0" w:color="auto"/>
        <w:bottom w:val="none" w:sz="0" w:space="0" w:color="auto"/>
        <w:right w:val="none" w:sz="0" w:space="0" w:color="auto"/>
      </w:divBdr>
    </w:div>
    <w:div w:id="1923367387">
      <w:bodyDiv w:val="1"/>
      <w:marLeft w:val="0"/>
      <w:marRight w:val="0"/>
      <w:marTop w:val="0"/>
      <w:marBottom w:val="0"/>
      <w:divBdr>
        <w:top w:val="none" w:sz="0" w:space="0" w:color="auto"/>
        <w:left w:val="none" w:sz="0" w:space="0" w:color="auto"/>
        <w:bottom w:val="none" w:sz="0" w:space="0" w:color="auto"/>
        <w:right w:val="none" w:sz="0" w:space="0" w:color="auto"/>
      </w:divBdr>
    </w:div>
    <w:div w:id="1978876523">
      <w:bodyDiv w:val="1"/>
      <w:marLeft w:val="0"/>
      <w:marRight w:val="0"/>
      <w:marTop w:val="0"/>
      <w:marBottom w:val="0"/>
      <w:divBdr>
        <w:top w:val="none" w:sz="0" w:space="0" w:color="auto"/>
        <w:left w:val="none" w:sz="0" w:space="0" w:color="auto"/>
        <w:bottom w:val="none" w:sz="0" w:space="0" w:color="auto"/>
        <w:right w:val="none" w:sz="0" w:space="0" w:color="auto"/>
      </w:divBdr>
    </w:div>
    <w:div w:id="2116094297">
      <w:bodyDiv w:val="1"/>
      <w:marLeft w:val="0"/>
      <w:marRight w:val="0"/>
      <w:marTop w:val="0"/>
      <w:marBottom w:val="0"/>
      <w:divBdr>
        <w:top w:val="none" w:sz="0" w:space="0" w:color="auto"/>
        <w:left w:val="none" w:sz="0" w:space="0" w:color="auto"/>
        <w:bottom w:val="none" w:sz="0" w:space="0" w:color="auto"/>
        <w:right w:val="none" w:sz="0" w:space="0" w:color="auto"/>
      </w:divBdr>
      <w:divsChild>
        <w:div w:id="78063938">
          <w:marLeft w:val="0"/>
          <w:marRight w:val="0"/>
          <w:marTop w:val="0"/>
          <w:marBottom w:val="0"/>
          <w:divBdr>
            <w:top w:val="none" w:sz="0" w:space="0" w:color="auto"/>
            <w:left w:val="none" w:sz="0" w:space="0" w:color="auto"/>
            <w:bottom w:val="none" w:sz="0" w:space="0" w:color="auto"/>
            <w:right w:val="none" w:sz="0" w:space="0" w:color="auto"/>
          </w:divBdr>
        </w:div>
        <w:div w:id="295650948">
          <w:marLeft w:val="0"/>
          <w:marRight w:val="0"/>
          <w:marTop w:val="0"/>
          <w:marBottom w:val="0"/>
          <w:divBdr>
            <w:top w:val="none" w:sz="0" w:space="0" w:color="auto"/>
            <w:left w:val="none" w:sz="0" w:space="0" w:color="auto"/>
            <w:bottom w:val="none" w:sz="0" w:space="0" w:color="auto"/>
            <w:right w:val="none" w:sz="0" w:space="0" w:color="auto"/>
          </w:divBdr>
        </w:div>
        <w:div w:id="893394229">
          <w:marLeft w:val="0"/>
          <w:marRight w:val="0"/>
          <w:marTop w:val="0"/>
          <w:marBottom w:val="0"/>
          <w:divBdr>
            <w:top w:val="none" w:sz="0" w:space="0" w:color="auto"/>
            <w:left w:val="none" w:sz="0" w:space="0" w:color="auto"/>
            <w:bottom w:val="none" w:sz="0" w:space="0" w:color="auto"/>
            <w:right w:val="none" w:sz="0" w:space="0" w:color="auto"/>
          </w:divBdr>
        </w:div>
        <w:div w:id="1245652476">
          <w:marLeft w:val="0"/>
          <w:marRight w:val="0"/>
          <w:marTop w:val="0"/>
          <w:marBottom w:val="0"/>
          <w:divBdr>
            <w:top w:val="none" w:sz="0" w:space="0" w:color="auto"/>
            <w:left w:val="none" w:sz="0" w:space="0" w:color="auto"/>
            <w:bottom w:val="none" w:sz="0" w:space="0" w:color="auto"/>
            <w:right w:val="none" w:sz="0" w:space="0" w:color="auto"/>
          </w:divBdr>
        </w:div>
        <w:div w:id="129317692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ipse.gov.co/mapa-del-sitio/proyectos-ipse/listado-proyectos/" TargetMode="Externa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upme.gov.co/ventanilla-unica-servicios/fondos-apoyo-financiero/" TargetMode="External" Id="rId12" /><Relationship Type="http://schemas.microsoft.com/office/2020/10/relationships/intelligence" Target="intelligence2.xml" Id="rId17"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d5c3a08b4f380d25d30e14ea7bdd62a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bff250eede24884c95f6806f9ee1f194"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96AE31-5354-4DA2-AB91-84614DEE20C9}">
  <ds:schemaRefs>
    <ds:schemaRef ds:uri="http://schemas.microsoft.com/sharepoint/v3/contenttype/forms"/>
  </ds:schemaRefs>
</ds:datastoreItem>
</file>

<file path=customXml/itemProps2.xml><?xml version="1.0" encoding="utf-8"?>
<ds:datastoreItem xmlns:ds="http://schemas.openxmlformats.org/officeDocument/2006/customXml" ds:itemID="{096B9794-3CE9-417B-BDA8-8A9F601BD8CF}">
  <ds:schemaRefs>
    <ds:schemaRef ds:uri="http://schemas.openxmlformats.org/officeDocument/2006/bibliography"/>
  </ds:schemaRefs>
</ds:datastoreItem>
</file>

<file path=customXml/itemProps3.xml><?xml version="1.0" encoding="utf-8"?>
<ds:datastoreItem xmlns:ds="http://schemas.openxmlformats.org/officeDocument/2006/customXml" ds:itemID="{4C981EC5-9854-4C6B-9BE1-7CBC4DB9D929}">
  <ds:schemaRefs>
    <ds:schemaRef ds:uri="http://schemas.microsoft.com/office/2006/metadata/properties"/>
    <ds:schemaRef ds:uri="http://schemas.microsoft.com/office/infopath/2007/PartnerControls"/>
    <ds:schemaRef ds:uri="ccaf9895-93ab-4536-b1cb-77a268359520"/>
    <ds:schemaRef ds:uri="189b51a7-d269-4f29-b142-79e8ee84f3f3"/>
  </ds:schemaRefs>
</ds:datastoreItem>
</file>

<file path=customXml/itemProps4.xml><?xml version="1.0" encoding="utf-8"?>
<ds:datastoreItem xmlns:ds="http://schemas.openxmlformats.org/officeDocument/2006/customXml" ds:itemID="{FED0217B-4441-42D3-B51B-6D5EC63394C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HP</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cp:keywords/>
  <dc:description/>
  <cp:lastModifiedBy>CARLOS ANDRES GARZON VALDERRAMA</cp:lastModifiedBy>
  <cp:revision>974</cp:revision>
  <cp:lastPrinted>2025-10-21T21:20:00Z</cp:lastPrinted>
  <dcterms:created xsi:type="dcterms:W3CDTF">2025-10-22T08:00:00Z</dcterms:created>
  <dcterms:modified xsi:type="dcterms:W3CDTF">2026-05-28T18:03:36Z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0x0101001D2AC1A0CAA71244BE1C830520B3580B</vt:lpwstr>
  </property>
  <property fmtid="{D5CDD505-2E9C-101B-9397-08002B2CF9AE}" pid="7" name="MediaServiceImageTags">
    <vt:lpwstr/>
  </property>
</Properties>
</file>